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1433" w14:textId="4E003AF9" w:rsidR="00E20703" w:rsidRDefault="004F3571">
      <w:pPr>
        <w:rPr>
          <w:b/>
          <w:bCs/>
        </w:rPr>
      </w:pPr>
      <w:r>
        <w:rPr>
          <w:b/>
          <w:bCs/>
        </w:rPr>
        <w:t xml:space="preserve">De </w:t>
      </w:r>
      <w:r w:rsidR="00861A86" w:rsidRPr="00BF622B">
        <w:rPr>
          <w:b/>
          <w:bCs/>
        </w:rPr>
        <w:t>30</w:t>
      </w:r>
      <w:r w:rsidR="00261D9D" w:rsidRPr="00BF622B">
        <w:rPr>
          <w:b/>
          <w:bCs/>
        </w:rPr>
        <w:t>-jaars</w:t>
      </w:r>
      <w:r w:rsidR="004C442C">
        <w:rPr>
          <w:b/>
          <w:bCs/>
        </w:rPr>
        <w:t>termijn</w:t>
      </w:r>
      <w:r w:rsidR="001F2901">
        <w:rPr>
          <w:b/>
          <w:bCs/>
        </w:rPr>
        <w:t xml:space="preserve">: </w:t>
      </w:r>
      <w:r>
        <w:rPr>
          <w:b/>
          <w:bCs/>
        </w:rPr>
        <w:t xml:space="preserve">de </w:t>
      </w:r>
      <w:r w:rsidR="00261D9D" w:rsidRPr="00BF622B">
        <w:rPr>
          <w:b/>
          <w:bCs/>
        </w:rPr>
        <w:t>hypotheekrenteaftrek</w:t>
      </w:r>
      <w:r w:rsidR="00184FCC">
        <w:rPr>
          <w:b/>
          <w:bCs/>
        </w:rPr>
        <w:t xml:space="preserve"> als o</w:t>
      </w:r>
      <w:r>
        <w:rPr>
          <w:b/>
          <w:bCs/>
        </w:rPr>
        <w:t xml:space="preserve">nderdeel van een </w:t>
      </w:r>
      <w:r w:rsidR="00184FCC">
        <w:rPr>
          <w:b/>
          <w:bCs/>
        </w:rPr>
        <w:t xml:space="preserve">veel </w:t>
      </w:r>
      <w:r>
        <w:rPr>
          <w:b/>
          <w:bCs/>
        </w:rPr>
        <w:t>grotere puzzel</w:t>
      </w:r>
    </w:p>
    <w:p w14:paraId="44B07783" w14:textId="77777777" w:rsidR="00DB39D3" w:rsidRPr="00E639F5" w:rsidRDefault="00DB39D3" w:rsidP="00DB39D3">
      <w:r w:rsidRPr="00E639F5">
        <w:t>Tjarko Denekamp en Peter Beets, Expert vermogensplanners ABN AMRO MeesPierson</w:t>
      </w:r>
    </w:p>
    <w:p w14:paraId="51E34FA9" w14:textId="7B148DA5" w:rsidR="00C7712D" w:rsidRDefault="002D495E">
      <w:r w:rsidRPr="002D495E">
        <w:t xml:space="preserve">De klok tikt. Voor hypotheken </w:t>
      </w:r>
      <w:r w:rsidR="00E93AF9">
        <w:t>die in 2001 al bestonden,</w:t>
      </w:r>
      <w:r w:rsidRPr="002D495E">
        <w:t xml:space="preserve"> eindigt in 2031 de hypotheekrenteaftrek. Wat ooit overzichtelijk begon, is uitgegroeid tot een fiscaal mijnenveld.</w:t>
      </w:r>
      <w:r w:rsidR="00D00FB5">
        <w:t xml:space="preserve"> </w:t>
      </w:r>
      <w:r w:rsidR="00D00FB5" w:rsidRPr="00D00FB5">
        <w:t>De kern van het probleem? Niemand weet straks nog precies hoe het zit. De Belastingdienst niet, de adviseur niet en de belastingplichtige al helemaal niet.</w:t>
      </w:r>
      <w:r w:rsidR="001C39FC">
        <w:t xml:space="preserve"> </w:t>
      </w:r>
      <w:r w:rsidR="002065EF">
        <w:t xml:space="preserve">Dit blijkt uit een onlangs verschenen </w:t>
      </w:r>
      <w:hyperlink r:id="rId5" w:history="1">
        <w:r w:rsidR="002065EF" w:rsidRPr="00453611">
          <w:rPr>
            <w:rStyle w:val="Hyperlink"/>
          </w:rPr>
          <w:t>evaluatie</w:t>
        </w:r>
      </w:hyperlink>
      <w:r w:rsidR="002065EF">
        <w:t>.</w:t>
      </w:r>
      <w:r w:rsidR="002C74DE">
        <w:t xml:space="preserve"> </w:t>
      </w:r>
      <w:r w:rsidR="00C177D4">
        <w:t xml:space="preserve">Hoe </w:t>
      </w:r>
      <w:r w:rsidR="00D701E3">
        <w:t>gaat de politiek dit oplossen</w:t>
      </w:r>
      <w:r w:rsidR="00C177D4">
        <w:t>?</w:t>
      </w:r>
    </w:p>
    <w:p w14:paraId="66B5CC3B" w14:textId="17FDB192" w:rsidR="003E3DE3" w:rsidRPr="003E3DE3" w:rsidRDefault="003E3DE3" w:rsidP="003E3DE3">
      <w:pPr>
        <w:rPr>
          <w:b/>
          <w:bCs/>
        </w:rPr>
      </w:pPr>
      <w:r w:rsidRPr="003E3DE3">
        <w:rPr>
          <w:b/>
          <w:bCs/>
        </w:rPr>
        <w:t>De bedoeling was</w:t>
      </w:r>
      <w:r>
        <w:rPr>
          <w:b/>
          <w:bCs/>
        </w:rPr>
        <w:t xml:space="preserve"> </w:t>
      </w:r>
      <w:r w:rsidRPr="003E3DE3">
        <w:rPr>
          <w:b/>
          <w:bCs/>
        </w:rPr>
        <w:t>simpel</w:t>
      </w:r>
      <w:r>
        <w:rPr>
          <w:b/>
          <w:bCs/>
        </w:rPr>
        <w:t xml:space="preserve">, </w:t>
      </w:r>
      <w:r w:rsidRPr="003E3DE3">
        <w:rPr>
          <w:b/>
          <w:bCs/>
        </w:rPr>
        <w:t xml:space="preserve">de uitkomst </w:t>
      </w:r>
      <w:r>
        <w:rPr>
          <w:b/>
          <w:bCs/>
        </w:rPr>
        <w:t>uiterst complex</w:t>
      </w:r>
    </w:p>
    <w:p w14:paraId="6768F25C" w14:textId="7A91E9AE" w:rsidR="003E3DE3" w:rsidRPr="003E3DE3" w:rsidRDefault="003E3DE3" w:rsidP="003E3DE3">
      <w:r w:rsidRPr="003E3DE3">
        <w:t>De 30-jaarstermijn werd ingevoerd met drie doelen:</w:t>
      </w:r>
    </w:p>
    <w:p w14:paraId="4026A816" w14:textId="1B74B37B" w:rsidR="003E3DE3" w:rsidRPr="003E3DE3" w:rsidRDefault="00C00B16" w:rsidP="003E3DE3">
      <w:pPr>
        <w:numPr>
          <w:ilvl w:val="0"/>
          <w:numId w:val="2"/>
        </w:numPr>
      </w:pPr>
      <w:r>
        <w:t xml:space="preserve">Voorkomen </w:t>
      </w:r>
      <w:r w:rsidR="003E3DE3" w:rsidRPr="003E3DE3">
        <w:t>eeuwigdurende renteaftrek</w:t>
      </w:r>
    </w:p>
    <w:p w14:paraId="260B26B7" w14:textId="360443E5" w:rsidR="003E3DE3" w:rsidRPr="003E3DE3" w:rsidRDefault="00EA26B0" w:rsidP="003E3DE3">
      <w:pPr>
        <w:numPr>
          <w:ilvl w:val="0"/>
          <w:numId w:val="2"/>
        </w:numPr>
      </w:pPr>
      <w:r>
        <w:t>Stimuleren aflossingen</w:t>
      </w:r>
    </w:p>
    <w:p w14:paraId="64E7949B" w14:textId="56F0CDE1" w:rsidR="00D435F1" w:rsidRDefault="009C38FC" w:rsidP="00D435F1">
      <w:pPr>
        <w:numPr>
          <w:ilvl w:val="0"/>
          <w:numId w:val="2"/>
        </w:numPr>
      </w:pPr>
      <w:r>
        <w:t>B</w:t>
      </w:r>
      <w:r w:rsidR="003E3DE3" w:rsidRPr="003E3DE3">
        <w:t xml:space="preserve">eheersing </w:t>
      </w:r>
      <w:r w:rsidR="00D435F1">
        <w:t>inkomstenderving voor de Belastingdienst</w:t>
      </w:r>
    </w:p>
    <w:p w14:paraId="5F4AEDC1" w14:textId="0EE8007B" w:rsidR="00AB229C" w:rsidRDefault="003E3DE3" w:rsidP="00D435F1">
      <w:r w:rsidRPr="003E3DE3">
        <w:t>Op papier helder</w:t>
      </w:r>
      <w:r w:rsidR="00C84BE3">
        <w:t xml:space="preserve"> en eenvoudig</w:t>
      </w:r>
      <w:r w:rsidRPr="003E3DE3">
        <w:t xml:space="preserve">. In de praktijk </w:t>
      </w:r>
      <w:r w:rsidR="00C84BE3">
        <w:t>zijn door</w:t>
      </w:r>
      <w:r w:rsidRPr="003E3DE3">
        <w:t xml:space="preserve"> verbouwingen, verhuizingen, </w:t>
      </w:r>
      <w:r w:rsidR="00E14CBF">
        <w:t>huwelijken, echtscheidingen</w:t>
      </w:r>
      <w:r w:rsidR="00C00B16">
        <w:t xml:space="preserve"> en </w:t>
      </w:r>
      <w:r w:rsidRPr="003E3DE3">
        <w:t>overlijden stapelingen van hypotheekdelen</w:t>
      </w:r>
      <w:r w:rsidR="00E14CBF">
        <w:t xml:space="preserve"> ontstaan. Die hebben</w:t>
      </w:r>
      <w:r w:rsidRPr="003E3DE3">
        <w:t xml:space="preserve"> elk een eigen fiscale </w:t>
      </w:r>
      <w:r w:rsidR="000A790A">
        <w:t>‘</w:t>
      </w:r>
      <w:r w:rsidRPr="003E3DE3">
        <w:t>houdbaarheidsdatum</w:t>
      </w:r>
      <w:r w:rsidR="000A790A">
        <w:t>’</w:t>
      </w:r>
      <w:r w:rsidRPr="003E3DE3">
        <w:t>. Het resultaat</w:t>
      </w:r>
      <w:r w:rsidR="00E14CBF">
        <w:t xml:space="preserve"> is</w:t>
      </w:r>
      <w:r w:rsidRPr="003E3DE3">
        <w:t xml:space="preserve"> een</w:t>
      </w:r>
      <w:r w:rsidR="00FC457A">
        <w:t xml:space="preserve"> complexe</w:t>
      </w:r>
      <w:r w:rsidRPr="003E3DE3">
        <w:t xml:space="preserve"> puzzel waar</w:t>
      </w:r>
      <w:r w:rsidR="00FC457A">
        <w:t xml:space="preserve">bij bovendien </w:t>
      </w:r>
      <w:r w:rsidR="00D4097E">
        <w:t xml:space="preserve">door tijdsverloop </w:t>
      </w:r>
      <w:r w:rsidR="00FC457A">
        <w:t>vaak</w:t>
      </w:r>
      <w:r w:rsidR="00D4097E">
        <w:t xml:space="preserve"> </w:t>
      </w:r>
      <w:r w:rsidR="00FC457A">
        <w:t>puzzel</w:t>
      </w:r>
      <w:r w:rsidR="00406C1E">
        <w:t xml:space="preserve">stukjes verloren zijn gegaan. </w:t>
      </w:r>
      <w:r w:rsidR="00E0535F" w:rsidRPr="00E0535F">
        <w:t>De complexiteit wordt vergroot door</w:t>
      </w:r>
      <w:r w:rsidR="00E0535F">
        <w:t>dat</w:t>
      </w:r>
      <w:r w:rsidR="00E0535F" w:rsidRPr="00E0535F">
        <w:t xml:space="preserve"> </w:t>
      </w:r>
      <w:r w:rsidR="00E0535F">
        <w:t xml:space="preserve">twee </w:t>
      </w:r>
      <w:r w:rsidR="00E0535F" w:rsidRPr="00E0535F">
        <w:t>op de drie huizenbezitters (deels) een aflossingsvrije hypotheek</w:t>
      </w:r>
      <w:r w:rsidR="00E0535F">
        <w:t xml:space="preserve"> hebben</w:t>
      </w:r>
      <w:r w:rsidR="00E0535F" w:rsidRPr="00E0535F">
        <w:t xml:space="preserve"> </w:t>
      </w:r>
      <w:r w:rsidR="00E0535F">
        <w:t>(</w:t>
      </w:r>
      <w:r w:rsidR="00E0535F" w:rsidRPr="00E0535F">
        <w:t xml:space="preserve">65-plussers zelfs </w:t>
      </w:r>
      <w:r w:rsidR="00E0535F">
        <w:t xml:space="preserve">meer dan </w:t>
      </w:r>
      <w:r w:rsidR="00E0535F" w:rsidRPr="00E0535F">
        <w:t>90 procent</w:t>
      </w:r>
      <w:r w:rsidR="00E0535F">
        <w:t>)</w:t>
      </w:r>
      <w:r w:rsidR="00E0535F" w:rsidRPr="00E0535F">
        <w:t>.</w:t>
      </w:r>
    </w:p>
    <w:p w14:paraId="2F79DA76" w14:textId="01A41352" w:rsidR="00C7712D" w:rsidRPr="008662B2" w:rsidRDefault="008662B2">
      <w:pPr>
        <w:rPr>
          <w:b/>
          <w:bCs/>
        </w:rPr>
      </w:pPr>
      <w:r w:rsidRPr="008662B2">
        <w:rPr>
          <w:b/>
          <w:bCs/>
        </w:rPr>
        <w:t xml:space="preserve">Rapport </w:t>
      </w:r>
      <w:r w:rsidR="006E3F39">
        <w:rPr>
          <w:b/>
          <w:bCs/>
        </w:rPr>
        <w:t>M</w:t>
      </w:r>
      <w:r w:rsidRPr="008662B2">
        <w:rPr>
          <w:b/>
          <w:bCs/>
        </w:rPr>
        <w:t>inisterie van Financiën</w:t>
      </w:r>
    </w:p>
    <w:p w14:paraId="2086B6A2" w14:textId="5C0CEF7E" w:rsidR="008662B2" w:rsidRDefault="00EA26B0" w:rsidP="00FF31A4">
      <w:r>
        <w:t>Zonder maatregelen staan de</w:t>
      </w:r>
      <w:r w:rsidR="00165F8D">
        <w:t xml:space="preserve"> drie</w:t>
      </w:r>
      <w:r>
        <w:t xml:space="preserve"> doelstellingen onder druk. </w:t>
      </w:r>
      <w:r w:rsidR="00165F8D">
        <w:t>Een werkgroep</w:t>
      </w:r>
      <w:r w:rsidR="00F8778D">
        <w:t xml:space="preserve"> van het </w:t>
      </w:r>
      <w:r w:rsidR="00D80233">
        <w:t>m</w:t>
      </w:r>
      <w:r w:rsidR="00F8778D">
        <w:t>inisterie van Financiën he</w:t>
      </w:r>
      <w:r w:rsidR="00C220AF">
        <w:t>eft</w:t>
      </w:r>
      <w:r w:rsidR="00F8778D">
        <w:t xml:space="preserve"> </w:t>
      </w:r>
      <w:r>
        <w:t xml:space="preserve">daarom </w:t>
      </w:r>
      <w:r w:rsidR="009C2E95">
        <w:t>de gevolgen van het vervallen van de 30-</w:t>
      </w:r>
      <w:r w:rsidR="004C442C">
        <w:t>jaarstermijn onderzocht</w:t>
      </w:r>
      <w:r w:rsidR="004038AA">
        <w:t xml:space="preserve"> en verschillende oplossingsrichtingen uitgewerkt</w:t>
      </w:r>
      <w:r w:rsidR="00F8778D">
        <w:t xml:space="preserve">. </w:t>
      </w:r>
    </w:p>
    <w:p w14:paraId="63CFADB3" w14:textId="3B9CD861" w:rsidR="00F362CE" w:rsidRDefault="00377B3E" w:rsidP="00BB0001">
      <w:pPr>
        <w:rPr>
          <w:b/>
          <w:bCs/>
        </w:rPr>
      </w:pPr>
      <w:r w:rsidRPr="00377B3E">
        <w:rPr>
          <w:b/>
          <w:bCs/>
        </w:rPr>
        <w:t xml:space="preserve">Een </w:t>
      </w:r>
      <w:r w:rsidR="00C72338">
        <w:rPr>
          <w:b/>
          <w:bCs/>
        </w:rPr>
        <w:t xml:space="preserve">nationaal </w:t>
      </w:r>
      <w:r w:rsidR="00EA26B0">
        <w:rPr>
          <w:b/>
          <w:bCs/>
        </w:rPr>
        <w:t>belasting</w:t>
      </w:r>
      <w:r w:rsidR="00C72338">
        <w:rPr>
          <w:b/>
          <w:bCs/>
        </w:rPr>
        <w:t>infarct</w:t>
      </w:r>
    </w:p>
    <w:p w14:paraId="4B4E99AA" w14:textId="77777777" w:rsidR="00935E61" w:rsidRPr="00935E61" w:rsidRDefault="00935E61" w:rsidP="00935E61">
      <w:r w:rsidRPr="00935E61">
        <w:t>Neem een doorsnee situatie:</w:t>
      </w:r>
    </w:p>
    <w:p w14:paraId="2169DCE9" w14:textId="77777777" w:rsidR="00935E61" w:rsidRPr="00935E61" w:rsidRDefault="00935E61" w:rsidP="00935E61">
      <w:pPr>
        <w:numPr>
          <w:ilvl w:val="0"/>
          <w:numId w:val="3"/>
        </w:numPr>
      </w:pPr>
      <w:r w:rsidRPr="00935E61">
        <w:t>een hypotheek uit 2001</w:t>
      </w:r>
    </w:p>
    <w:p w14:paraId="754C9B6D" w14:textId="77777777" w:rsidR="00935E61" w:rsidRPr="00935E61" w:rsidRDefault="00935E61" w:rsidP="00935E61">
      <w:pPr>
        <w:numPr>
          <w:ilvl w:val="0"/>
          <w:numId w:val="3"/>
        </w:numPr>
      </w:pPr>
      <w:r w:rsidRPr="00935E61">
        <w:t>verbouwing in 2010</w:t>
      </w:r>
    </w:p>
    <w:p w14:paraId="16F39B10" w14:textId="77777777" w:rsidR="00935E61" w:rsidRPr="00935E61" w:rsidRDefault="00935E61" w:rsidP="00935E61">
      <w:pPr>
        <w:numPr>
          <w:ilvl w:val="0"/>
          <w:numId w:val="3"/>
        </w:numPr>
      </w:pPr>
      <w:r w:rsidRPr="00935E61">
        <w:t>huwelijk in 2013</w:t>
      </w:r>
    </w:p>
    <w:p w14:paraId="1A906F09" w14:textId="77777777" w:rsidR="00935E61" w:rsidRPr="00935E61" w:rsidRDefault="00935E61" w:rsidP="00935E61">
      <w:pPr>
        <w:numPr>
          <w:ilvl w:val="0"/>
          <w:numId w:val="3"/>
        </w:numPr>
      </w:pPr>
      <w:r w:rsidRPr="00935E61">
        <w:t>verhuizing in 2015</w:t>
      </w:r>
    </w:p>
    <w:p w14:paraId="320064EB" w14:textId="77777777" w:rsidR="00935E61" w:rsidRPr="00935E61" w:rsidRDefault="00935E61" w:rsidP="00935E61">
      <w:pPr>
        <w:numPr>
          <w:ilvl w:val="0"/>
          <w:numId w:val="3"/>
        </w:numPr>
      </w:pPr>
      <w:r w:rsidRPr="00935E61">
        <w:t>overlijden partner in 2025</w:t>
      </w:r>
    </w:p>
    <w:p w14:paraId="238D53CF" w14:textId="77777777" w:rsidR="0071452D" w:rsidRDefault="00935E61" w:rsidP="00B407BD">
      <w:r w:rsidRPr="00935E61">
        <w:t>Elke stap beïnvloedt het recht op renteaftrek.</w:t>
      </w:r>
      <w:r w:rsidR="0071452D">
        <w:t xml:space="preserve"> </w:t>
      </w:r>
      <w:r w:rsidR="008F5390">
        <w:t xml:space="preserve">De hamvraag is: voor welk bedrag </w:t>
      </w:r>
      <w:r w:rsidR="00EA228B">
        <w:t>is er</w:t>
      </w:r>
      <w:r w:rsidR="005B6FE2">
        <w:t xml:space="preserve"> recht op hypotheekrenteaftrek in 2031, 2040, 2045 en </w:t>
      </w:r>
      <w:r w:rsidR="00154BCC">
        <w:t xml:space="preserve">2055? Hier komt een gewoon mens niet uit. </w:t>
      </w:r>
    </w:p>
    <w:p w14:paraId="29E386C2" w14:textId="2848A7EE" w:rsidR="00D73556" w:rsidRDefault="00AF372F" w:rsidP="00B407BD">
      <w:r>
        <w:t xml:space="preserve">Kan </w:t>
      </w:r>
      <w:r w:rsidR="00EA228B">
        <w:t>men</w:t>
      </w:r>
      <w:r>
        <w:t xml:space="preserve"> aankloppen bij de hypotheekverstrekker</w:t>
      </w:r>
      <w:r w:rsidR="00DB39D3">
        <w:t xml:space="preserve"> of de Belastingdienst</w:t>
      </w:r>
      <w:r>
        <w:t xml:space="preserve">? </w:t>
      </w:r>
      <w:r w:rsidR="00DB39D3">
        <w:t xml:space="preserve">Door wettelijke bewaartermijnen is veel informatie niet meer voor handen, </w:t>
      </w:r>
      <w:r w:rsidR="00B407BD" w:rsidRPr="00B407BD">
        <w:t>vooral van leningen van vóór 2013</w:t>
      </w:r>
      <w:r w:rsidR="00B407BD">
        <w:t>. P</w:t>
      </w:r>
      <w:r w:rsidR="00BC7306">
        <w:t xml:space="preserve">articulieren </w:t>
      </w:r>
      <w:r w:rsidR="00B407BD">
        <w:t>zijn</w:t>
      </w:r>
      <w:r w:rsidR="00BC7306">
        <w:t xml:space="preserve"> niet verplicht om hun administratie 30 jaar te bewaren</w:t>
      </w:r>
      <w:r w:rsidR="00D036FA">
        <w:t>, maar moeten per 2031 wel aannemelijk kunnen maken dat geclaimde renteaftrek terecht is</w:t>
      </w:r>
      <w:r w:rsidR="00BC7306">
        <w:t>.</w:t>
      </w:r>
    </w:p>
    <w:p w14:paraId="12B881F6" w14:textId="485527FD" w:rsidR="008F5390" w:rsidRDefault="005C7001" w:rsidP="00BB0001">
      <w:r>
        <w:lastRenderedPageBreak/>
        <w:t xml:space="preserve">Kortom, de kans dat </w:t>
      </w:r>
      <w:r w:rsidR="007128FF">
        <w:t>men</w:t>
      </w:r>
      <w:r>
        <w:t xml:space="preserve"> in 2031 </w:t>
      </w:r>
      <w:r w:rsidR="00EB0937">
        <w:t xml:space="preserve">en later </w:t>
      </w:r>
      <w:r w:rsidR="006A5E07">
        <w:t>on</w:t>
      </w:r>
      <w:r w:rsidR="00EB0937">
        <w:t>juist aangifte doe</w:t>
      </w:r>
      <w:r w:rsidR="007128FF">
        <w:t>t,</w:t>
      </w:r>
      <w:r w:rsidR="00EB0937">
        <w:t xml:space="preserve"> is groot. </w:t>
      </w:r>
      <w:r w:rsidR="003C6033">
        <w:t>De Belastingdienst kan het niet controleren en gaat informatie opvragen</w:t>
      </w:r>
      <w:r w:rsidR="00835D9D">
        <w:t xml:space="preserve"> bij de belastingplichtigen</w:t>
      </w:r>
      <w:r w:rsidR="003C6033">
        <w:t xml:space="preserve">. </w:t>
      </w:r>
      <w:r w:rsidR="00C72338">
        <w:t xml:space="preserve">Pas dit toe op honderdduizenden </w:t>
      </w:r>
      <w:r w:rsidR="00892929">
        <w:t>huishoudens</w:t>
      </w:r>
      <w:r w:rsidR="00C72338">
        <w:t xml:space="preserve"> en een nationaal </w:t>
      </w:r>
      <w:r w:rsidR="00892929">
        <w:t>belasting</w:t>
      </w:r>
      <w:r w:rsidR="00C72338">
        <w:t xml:space="preserve">infarct dreigt. </w:t>
      </w:r>
    </w:p>
    <w:p w14:paraId="73C51B50" w14:textId="3995C904" w:rsidR="00272EBA" w:rsidRDefault="00775127" w:rsidP="00775127">
      <w:r w:rsidRPr="00775127">
        <w:t xml:space="preserve">Financiën schat dat </w:t>
      </w:r>
      <w:r w:rsidR="0042377F">
        <w:t xml:space="preserve">door </w:t>
      </w:r>
      <w:r w:rsidR="00C7043C">
        <w:t>gebrekkige uitvoerbaarheid en handhaafbaarheid</w:t>
      </w:r>
      <w:r w:rsidR="00EA7B46">
        <w:t xml:space="preserve"> </w:t>
      </w:r>
      <w:r w:rsidRPr="00775127">
        <w:t>jaarlijks circa €</w:t>
      </w:r>
      <w:r w:rsidR="00A63465">
        <w:t xml:space="preserve"> </w:t>
      </w:r>
      <w:r w:rsidRPr="00775127">
        <w:t>100 miljoen aan belastinginkomsten verloren gaat.</w:t>
      </w:r>
      <w:r w:rsidR="00272EBA">
        <w:t xml:space="preserve"> Men heeft dit niet heel precies bekeken, omdat men dit onbestaanbaar vindt. Niets doen is </w:t>
      </w:r>
      <w:r w:rsidR="004256E9">
        <w:t xml:space="preserve">daarom </w:t>
      </w:r>
      <w:r w:rsidR="00272EBA">
        <w:t>geen optie en extra maatregelen moeten er komen.</w:t>
      </w:r>
    </w:p>
    <w:p w14:paraId="7FD81161" w14:textId="6826038D" w:rsidR="003074CD" w:rsidRPr="003074CD" w:rsidRDefault="003074CD" w:rsidP="00BB0001">
      <w:pPr>
        <w:rPr>
          <w:b/>
          <w:bCs/>
        </w:rPr>
      </w:pPr>
      <w:r w:rsidRPr="003074CD">
        <w:rPr>
          <w:b/>
          <w:bCs/>
        </w:rPr>
        <w:t>De oplossingsrichtingen</w:t>
      </w:r>
    </w:p>
    <w:p w14:paraId="788E659F" w14:textId="77777777" w:rsidR="00B923A5" w:rsidRDefault="003613C4" w:rsidP="00BB0001">
      <w:r>
        <w:t xml:space="preserve">Het probleem is het grootst bij hypotheken van </w:t>
      </w:r>
      <w:r w:rsidR="00654148" w:rsidRPr="00654148">
        <w:t>vóór 2013</w:t>
      </w:r>
      <w:r w:rsidR="00654148">
        <w:t xml:space="preserve"> omdat er tot dat moment geen aflossingsverplichting bestond. </w:t>
      </w:r>
      <w:r w:rsidR="00B923A5">
        <w:t xml:space="preserve">Dit betreft </w:t>
      </w:r>
      <w:r w:rsidR="00B923A5" w:rsidRPr="00B923A5">
        <w:t>meer dan één miljoen huishoudens</w:t>
      </w:r>
      <w:r w:rsidR="00B923A5">
        <w:t>.</w:t>
      </w:r>
    </w:p>
    <w:p w14:paraId="4EED6E56" w14:textId="09DD887D" w:rsidR="00D44688" w:rsidRDefault="00654148" w:rsidP="00BB0001">
      <w:r>
        <w:t xml:space="preserve">Een oplossing is om per 2031 de hypotheekrente van </w:t>
      </w:r>
      <w:r w:rsidR="004256E9">
        <w:t xml:space="preserve">alle </w:t>
      </w:r>
      <w:r>
        <w:t xml:space="preserve">hypotheken van </w:t>
      </w:r>
      <w:r w:rsidRPr="00654148">
        <w:t>vóór 2013</w:t>
      </w:r>
      <w:r>
        <w:t xml:space="preserve"> af te schaffen. </w:t>
      </w:r>
      <w:r w:rsidR="00F8696B">
        <w:t>Dit levert de staatskas geld op</w:t>
      </w:r>
      <w:r w:rsidR="00ED287F">
        <w:t>.</w:t>
      </w:r>
      <w:r w:rsidR="00F8696B">
        <w:t xml:space="preserve"> </w:t>
      </w:r>
      <w:r w:rsidR="00ED287F">
        <w:t>Tegelijkertijd worden</w:t>
      </w:r>
      <w:r w:rsidR="004256E9">
        <w:t xml:space="preserve"> veel</w:t>
      </w:r>
      <w:r w:rsidR="00F8696B">
        <w:t xml:space="preserve"> belastingplichtigen </w:t>
      </w:r>
      <w:r w:rsidR="000844CE">
        <w:t xml:space="preserve">benadeeld </w:t>
      </w:r>
      <w:r w:rsidR="00492674">
        <w:t>doordat hun</w:t>
      </w:r>
      <w:r w:rsidR="003C3F48">
        <w:t xml:space="preserve"> renteaftrek over 30 jaar wordt ontnomen. </w:t>
      </w:r>
      <w:r w:rsidR="00D44688">
        <w:t>Een andere oplossing is om hypotheekrente</w:t>
      </w:r>
      <w:r w:rsidR="00FA3C7C">
        <w:t xml:space="preserve">aftrek voor iedereen tot 2043 toe te staan en dan een streep te trekken. </w:t>
      </w:r>
      <w:r w:rsidR="003C3F48">
        <w:t xml:space="preserve">Dit kost </w:t>
      </w:r>
      <w:r w:rsidR="00744686">
        <w:t xml:space="preserve">de staatskas geld en leidt ertoe dat </w:t>
      </w:r>
      <w:r w:rsidR="004256E9">
        <w:t>veel</w:t>
      </w:r>
      <w:r w:rsidR="00744686">
        <w:t xml:space="preserve"> belastingplichtigen </w:t>
      </w:r>
      <w:r w:rsidR="00FF2FB3">
        <w:t xml:space="preserve">langer dan 30 jaar renteaftrek hebben. </w:t>
      </w:r>
    </w:p>
    <w:p w14:paraId="636A42E5" w14:textId="6EEB9E11" w:rsidR="00FF2FB3" w:rsidRDefault="00FF2FB3" w:rsidP="00BB0001">
      <w:r>
        <w:t xml:space="preserve">Tussen deze uitersten zijn </w:t>
      </w:r>
      <w:r w:rsidR="008F0229">
        <w:t xml:space="preserve">verschillende varianten mogelijk. </w:t>
      </w:r>
      <w:r w:rsidR="00F75627">
        <w:t xml:space="preserve">De budgettaire gevolgen </w:t>
      </w:r>
      <w:r w:rsidR="009502EB">
        <w:t xml:space="preserve">zijn met een plus van </w:t>
      </w:r>
      <w:r w:rsidR="00293419">
        <w:t xml:space="preserve">gemiddeld </w:t>
      </w:r>
      <w:r w:rsidR="009502EB">
        <w:t xml:space="preserve">€ 1,4 miljard </w:t>
      </w:r>
      <w:r w:rsidR="00FC336A">
        <w:t xml:space="preserve">per jaar </w:t>
      </w:r>
      <w:r w:rsidR="00773C1E">
        <w:t>voor de schatkist dan wel een min van</w:t>
      </w:r>
      <w:r w:rsidR="00293419">
        <w:t xml:space="preserve"> eveneens gemiddeld</w:t>
      </w:r>
      <w:r w:rsidR="00773C1E">
        <w:t xml:space="preserve"> € 1,4 miljard</w:t>
      </w:r>
      <w:r w:rsidR="00FC336A">
        <w:t xml:space="preserve"> </w:t>
      </w:r>
      <w:r w:rsidR="009502EB">
        <w:t xml:space="preserve">per jaar </w:t>
      </w:r>
      <w:r w:rsidR="00773C1E">
        <w:t xml:space="preserve">zeer fors. </w:t>
      </w:r>
    </w:p>
    <w:p w14:paraId="4FACB1CB" w14:textId="25E76721" w:rsidR="00FB6700" w:rsidRDefault="00FB6700" w:rsidP="00BB0001">
      <w:r>
        <w:t>Niets doen met een kostprijs van € 100 miljoen per jaar</w:t>
      </w:r>
      <w:r w:rsidR="003157BE">
        <w:t xml:space="preserve"> is wellicht niet fraai</w:t>
      </w:r>
      <w:r w:rsidR="00556BDA">
        <w:t xml:space="preserve">, maar </w:t>
      </w:r>
      <w:r w:rsidR="00F03A4C">
        <w:t>oogt qua budgettaire impact zo slecht nog niet?</w:t>
      </w:r>
    </w:p>
    <w:p w14:paraId="46C309F8" w14:textId="18CACF23" w:rsidR="00C177D4" w:rsidRPr="00F03A4C" w:rsidRDefault="00F03A4C">
      <w:pPr>
        <w:rPr>
          <w:b/>
          <w:bCs/>
        </w:rPr>
      </w:pPr>
      <w:r w:rsidRPr="00F03A4C">
        <w:rPr>
          <w:b/>
          <w:bCs/>
        </w:rPr>
        <w:t>Wat zegt de politiek?</w:t>
      </w:r>
    </w:p>
    <w:p w14:paraId="36B04AF1" w14:textId="15411D04" w:rsidR="008662B2" w:rsidRDefault="00A636D0">
      <w:r>
        <w:t xml:space="preserve">De hypotheekrenteaftrek is al jaren een heet politiek hangijzer. </w:t>
      </w:r>
      <w:r w:rsidR="00EC64E6">
        <w:t xml:space="preserve">Zet </w:t>
      </w:r>
      <w:r w:rsidR="003A2DF1">
        <w:t xml:space="preserve">de evaluatie van de 30-jaarstermijn de boel verder op scherp? Vooralsnog niet. </w:t>
      </w:r>
      <w:r w:rsidR="00211E4F">
        <w:t xml:space="preserve">Staatssecretaris </w:t>
      </w:r>
      <w:proofErr w:type="spellStart"/>
      <w:r w:rsidR="00211E4F">
        <w:t>Eerenberg</w:t>
      </w:r>
      <w:proofErr w:type="spellEnd"/>
      <w:r w:rsidR="00211E4F">
        <w:t xml:space="preserve"> heeft </w:t>
      </w:r>
      <w:r w:rsidR="003A2DF1">
        <w:t>aang</w:t>
      </w:r>
      <w:r w:rsidR="00D94AA0">
        <w:t>eg</w:t>
      </w:r>
      <w:r w:rsidR="003A2DF1">
        <w:t xml:space="preserve">even </w:t>
      </w:r>
      <w:r w:rsidR="00430E6B">
        <w:t xml:space="preserve">het rapport eerst te gaan bestuderen, waarna er een </w:t>
      </w:r>
      <w:r w:rsidR="00D71E29">
        <w:t xml:space="preserve">‘politiek gesprek’ gevoerd moet worden in de ministerraad. </w:t>
      </w:r>
      <w:r w:rsidR="00130AAE">
        <w:t xml:space="preserve">Doelstelling is om ‘in deze regeerperiode’ een richting te kiezen. </w:t>
      </w:r>
      <w:r w:rsidR="006636B9">
        <w:t xml:space="preserve">Het kan dus nog wel even duren voordat </w:t>
      </w:r>
      <w:r w:rsidR="00775093">
        <w:t>hierover meer bekend wordt.</w:t>
      </w:r>
    </w:p>
    <w:p w14:paraId="13A1DE79" w14:textId="46ABB538" w:rsidR="00645F87" w:rsidRDefault="00666D5D">
      <w:r>
        <w:t>Overigens wordt</w:t>
      </w:r>
      <w:r w:rsidRPr="00666D5D">
        <w:t xml:space="preserve"> in 2027 de eigenwoningregeling opnieuw geëvalueerd.</w:t>
      </w:r>
      <w:r w:rsidR="00E654A7">
        <w:rPr>
          <w:rFonts w:ascii="ABN AMRO Sans SemiBold" w:eastAsiaTheme="minorEastAsia" w:hAnsi="ABN AMRO Sans SemiBold"/>
          <w:color w:val="000000" w:themeColor="text1"/>
          <w:kern w:val="24"/>
          <w:sz w:val="32"/>
          <w:szCs w:val="32"/>
        </w:rPr>
        <w:t xml:space="preserve"> </w:t>
      </w:r>
      <w:r w:rsidR="00A778BF" w:rsidRPr="00A778BF">
        <w:t xml:space="preserve">Volgens de huidige begrotingsregels moeten negatief geëvalueerde fiscale regelingen worden </w:t>
      </w:r>
      <w:r w:rsidR="0042377F">
        <w:t xml:space="preserve">aangepast of </w:t>
      </w:r>
      <w:r w:rsidR="00A778BF" w:rsidRPr="00A778BF">
        <w:t>afgeschaft.</w:t>
      </w:r>
      <w:r w:rsidR="00A778BF">
        <w:t xml:space="preserve"> Hier hoeft echter niet veel van te worden verwacht</w:t>
      </w:r>
      <w:r w:rsidR="00920B2F">
        <w:t>; met de vorige evaluatie van de eigenwoningregeling is niets gedaan</w:t>
      </w:r>
      <w:r w:rsidR="00F8387C">
        <w:t xml:space="preserve">. </w:t>
      </w:r>
      <w:r w:rsidR="00DD06D8">
        <w:t xml:space="preserve">De conclusies </w:t>
      </w:r>
      <w:r w:rsidR="001B557B">
        <w:t xml:space="preserve">waren toen </w:t>
      </w:r>
      <w:r w:rsidR="00DD06D8">
        <w:t xml:space="preserve">duidelijk en </w:t>
      </w:r>
      <w:r w:rsidR="001B557B">
        <w:t xml:space="preserve">overigens </w:t>
      </w:r>
      <w:r w:rsidR="00DD06D8">
        <w:t xml:space="preserve">nog steeds actueel. </w:t>
      </w:r>
    </w:p>
    <w:p w14:paraId="5C14E4F2" w14:textId="1D82ACA4" w:rsidR="00F03A4C" w:rsidRDefault="00083132">
      <w:pPr>
        <w:rPr>
          <w:b/>
          <w:bCs/>
        </w:rPr>
      </w:pPr>
      <w:r>
        <w:rPr>
          <w:b/>
          <w:bCs/>
        </w:rPr>
        <w:t>De onverwachte escape:</w:t>
      </w:r>
      <w:r w:rsidR="00775093" w:rsidRPr="00C95773">
        <w:rPr>
          <w:b/>
          <w:bCs/>
        </w:rPr>
        <w:t xml:space="preserve"> box 3</w:t>
      </w:r>
    </w:p>
    <w:p w14:paraId="65500E17" w14:textId="1AEF72F6" w:rsidR="00D00F94" w:rsidRDefault="00A66EEC">
      <w:r>
        <w:t>Financiën</w:t>
      </w:r>
      <w:r w:rsidR="006B74BB">
        <w:t xml:space="preserve"> heeft het wetsvoorstel voor het </w:t>
      </w:r>
      <w:r w:rsidR="006B74BB" w:rsidRPr="006B74BB">
        <w:t>nieuwe box 3</w:t>
      </w:r>
      <w:r w:rsidR="006B74BB">
        <w:t>-systeem</w:t>
      </w:r>
      <w:r w:rsidR="006B74BB" w:rsidRPr="006B74BB">
        <w:t xml:space="preserve"> </w:t>
      </w:r>
      <w:r w:rsidR="006B74BB">
        <w:t>vanaf 2028</w:t>
      </w:r>
      <w:r>
        <w:t xml:space="preserve"> overigens</w:t>
      </w:r>
      <w:r w:rsidR="006B74BB">
        <w:t xml:space="preserve"> </w:t>
      </w:r>
      <w:r w:rsidR="006B74BB" w:rsidRPr="006B74BB">
        <w:t xml:space="preserve">niet meegenomen in </w:t>
      </w:r>
      <w:r w:rsidR="006B74BB">
        <w:t xml:space="preserve">haar </w:t>
      </w:r>
      <w:r w:rsidR="006B74BB" w:rsidRPr="006B74BB">
        <w:t>onderzoek</w:t>
      </w:r>
      <w:r w:rsidR="006B74BB">
        <w:t xml:space="preserve">. Dat nieuwe box 3-systeem is er drie jaar voor 2031 en </w:t>
      </w:r>
      <w:r w:rsidR="00904888">
        <w:t>lost</w:t>
      </w:r>
      <w:r w:rsidR="00904888" w:rsidRPr="00904888">
        <w:t xml:space="preserve"> </w:t>
      </w:r>
      <w:r w:rsidR="006B74BB">
        <w:t xml:space="preserve">ironisch genoeg </w:t>
      </w:r>
      <w:r w:rsidR="00904888" w:rsidRPr="00904888">
        <w:t>het probleem deels op</w:t>
      </w:r>
      <w:r w:rsidR="006B74BB">
        <w:t>,</w:t>
      </w:r>
      <w:r w:rsidR="00904888">
        <w:t xml:space="preserve"> als </w:t>
      </w:r>
      <w:r w:rsidR="00904888" w:rsidRPr="00904888">
        <w:t>een schuld na 30 jaar naar box 3 verhuist</w:t>
      </w:r>
      <w:r w:rsidR="00904888">
        <w:t>.</w:t>
      </w:r>
      <w:r w:rsidR="0024601A">
        <w:t xml:space="preserve"> </w:t>
      </w:r>
      <w:r w:rsidR="0058039A">
        <w:t xml:space="preserve">De </w:t>
      </w:r>
      <w:r w:rsidR="006B74BB">
        <w:t xml:space="preserve">betaalde </w:t>
      </w:r>
      <w:r w:rsidR="0058039A">
        <w:t xml:space="preserve">rente komt dan in </w:t>
      </w:r>
      <w:r w:rsidR="00187379">
        <w:t xml:space="preserve">mindering op </w:t>
      </w:r>
      <w:r w:rsidR="005D7840">
        <w:t>het</w:t>
      </w:r>
      <w:r w:rsidR="00187379">
        <w:t xml:space="preserve"> inkomen in box 3. </w:t>
      </w:r>
      <w:r w:rsidR="000F162F">
        <w:t xml:space="preserve">Feitelijk </w:t>
      </w:r>
      <w:r w:rsidR="00700FFA">
        <w:t>is er</w:t>
      </w:r>
      <w:r w:rsidR="000F162F">
        <w:t xml:space="preserve"> dan renteaftrek tegen het belastingtarief van box 3</w:t>
      </w:r>
      <w:r w:rsidR="00222E2D">
        <w:t>,</w:t>
      </w:r>
      <w:r w:rsidR="000F162F">
        <w:t xml:space="preserve"> ofwel 36%. Dat is maar een tikkeltje minder dan het aftrektarief </w:t>
      </w:r>
      <w:r w:rsidR="00E719E6">
        <w:t>in box 1 van 37,5</w:t>
      </w:r>
      <w:r w:rsidR="00904888">
        <w:t>6</w:t>
      </w:r>
      <w:r w:rsidR="00E719E6">
        <w:t xml:space="preserve">%. En </w:t>
      </w:r>
      <w:r w:rsidR="001609F2">
        <w:t>zonder</w:t>
      </w:r>
      <w:r w:rsidR="00E719E6">
        <w:t xml:space="preserve"> hypotheekschuld </w:t>
      </w:r>
      <w:r w:rsidR="001609F2">
        <w:t>in box 1 is er</w:t>
      </w:r>
      <w:r w:rsidR="00E719E6">
        <w:t xml:space="preserve"> </w:t>
      </w:r>
      <w:r w:rsidR="004C2B37">
        <w:t xml:space="preserve">de komende jaren nog </w:t>
      </w:r>
      <w:r w:rsidR="00E719E6">
        <w:t xml:space="preserve">een korting </w:t>
      </w:r>
      <w:r w:rsidR="00D7648C">
        <w:t xml:space="preserve">op </w:t>
      </w:r>
      <w:r w:rsidR="001609F2">
        <w:t>het</w:t>
      </w:r>
      <w:r w:rsidR="00D7648C">
        <w:t xml:space="preserve"> </w:t>
      </w:r>
      <w:r w:rsidR="004C2B37">
        <w:t xml:space="preserve">te belasten </w:t>
      </w:r>
      <w:r w:rsidR="00D7648C">
        <w:t>eigenwoningforfait van ongeveer 50%</w:t>
      </w:r>
      <w:r w:rsidR="004E6C84">
        <w:t>. Dit is de</w:t>
      </w:r>
      <w:r w:rsidR="00D7648C">
        <w:t xml:space="preserve"> ‘</w:t>
      </w:r>
      <w:r w:rsidR="004E6C84">
        <w:t>H</w:t>
      </w:r>
      <w:r w:rsidR="00D7648C">
        <w:t>illen</w:t>
      </w:r>
      <w:r w:rsidR="00222E2D">
        <w:t>-</w:t>
      </w:r>
      <w:r w:rsidR="00D7648C">
        <w:t>aftrek’</w:t>
      </w:r>
      <w:r w:rsidR="004E6C84">
        <w:t>, die wel</w:t>
      </w:r>
      <w:r w:rsidR="009269EC">
        <w:t>iswaar</w:t>
      </w:r>
      <w:r w:rsidR="004E6C84">
        <w:t xml:space="preserve"> jaarlijks wordt afgebouwd</w:t>
      </w:r>
      <w:r w:rsidR="009269EC">
        <w:t>, maar voorlopig zijn de vermogenden</w:t>
      </w:r>
      <w:r w:rsidR="001F6FF7">
        <w:t xml:space="preserve"> in 2031 </w:t>
      </w:r>
      <w:r w:rsidR="00907C0C">
        <w:t xml:space="preserve">en latere jaren misschien </w:t>
      </w:r>
      <w:r w:rsidR="001F6FF7">
        <w:t>wel beter af!</w:t>
      </w:r>
    </w:p>
    <w:p w14:paraId="2F15D2A0" w14:textId="4D8B2A0C" w:rsidR="002B2317" w:rsidRPr="002B2317" w:rsidRDefault="002B2317" w:rsidP="002B2317">
      <w:pPr>
        <w:rPr>
          <w:b/>
          <w:bCs/>
        </w:rPr>
      </w:pPr>
      <w:r w:rsidRPr="002B2317">
        <w:rPr>
          <w:b/>
          <w:bCs/>
        </w:rPr>
        <w:lastRenderedPageBreak/>
        <w:t>Een rekenvoorbeeld</w:t>
      </w:r>
    </w:p>
    <w:p w14:paraId="1F685CB6" w14:textId="10EEB64A" w:rsidR="002B2317" w:rsidRDefault="00F2499B" w:rsidP="001A09CB">
      <w:r>
        <w:t xml:space="preserve">Hoe pakt een en ander uit in de praktijk? </w:t>
      </w:r>
      <w:r w:rsidR="00235731">
        <w:t xml:space="preserve">We </w:t>
      </w:r>
      <w:r>
        <w:t>berekenen</w:t>
      </w:r>
      <w:r w:rsidR="00235731">
        <w:t xml:space="preserve"> de gevolgen </w:t>
      </w:r>
      <w:r w:rsidR="003C457B">
        <w:t xml:space="preserve">bij verschillende hypotheekbedragen en 3,5% rente. </w:t>
      </w:r>
      <w:r w:rsidR="00B52DC5">
        <w:t xml:space="preserve">We gaan uit van </w:t>
      </w:r>
      <w:r w:rsidR="00ED6C0A">
        <w:t xml:space="preserve">renteaftrek in box 1 </w:t>
      </w:r>
      <w:r w:rsidR="00CE716F">
        <w:t>tegen</w:t>
      </w:r>
      <w:r w:rsidR="00ED6C0A">
        <w:t xml:space="preserve"> 37,5%. Voor AOW-ge</w:t>
      </w:r>
      <w:r w:rsidR="004D368B">
        <w:t xml:space="preserve">rechtigden met een beperkt aanvullend pensioen kan dit te hoog zijn. </w:t>
      </w:r>
      <w:r w:rsidR="00632C73">
        <w:t xml:space="preserve">Voor de overzichtelijkheid </w:t>
      </w:r>
      <w:r w:rsidR="0098464B">
        <w:t>is het eigenwoningforfait buiten beschouwing gelaten.</w:t>
      </w:r>
    </w:p>
    <w:tbl>
      <w:tblPr>
        <w:tblStyle w:val="Tabelraster"/>
        <w:tblW w:w="8926" w:type="dxa"/>
        <w:tblLayout w:type="fixed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6"/>
      </w:tblGrid>
      <w:tr w:rsidR="00E63362" w14:paraId="0ADBB438" w14:textId="1105126A" w:rsidTr="00E63362">
        <w:trPr>
          <w:trHeight w:val="810"/>
        </w:trPr>
        <w:tc>
          <w:tcPr>
            <w:tcW w:w="1785" w:type="dxa"/>
          </w:tcPr>
          <w:p w14:paraId="24D2FC9D" w14:textId="0F7FA731" w:rsidR="00E63362" w:rsidRPr="00CE716F" w:rsidRDefault="00E63362" w:rsidP="002B2317">
            <w:pPr>
              <w:rPr>
                <w:b/>
                <w:bCs/>
              </w:rPr>
            </w:pPr>
            <w:r w:rsidRPr="00CE716F">
              <w:rPr>
                <w:b/>
                <w:bCs/>
              </w:rPr>
              <w:t>Aflossingsvrije hypotheek</w:t>
            </w:r>
          </w:p>
        </w:tc>
        <w:tc>
          <w:tcPr>
            <w:tcW w:w="1785" w:type="dxa"/>
          </w:tcPr>
          <w:p w14:paraId="4D31D845" w14:textId="1D13A799" w:rsidR="00E63362" w:rsidRPr="00CE716F" w:rsidRDefault="00E63362" w:rsidP="009F11D7">
            <w:pPr>
              <w:jc w:val="right"/>
              <w:rPr>
                <w:b/>
                <w:bCs/>
              </w:rPr>
            </w:pPr>
            <w:r w:rsidRPr="00CE716F">
              <w:rPr>
                <w:b/>
                <w:bCs/>
              </w:rPr>
              <w:t>Netto last in 2030</w:t>
            </w:r>
          </w:p>
        </w:tc>
        <w:tc>
          <w:tcPr>
            <w:tcW w:w="1785" w:type="dxa"/>
          </w:tcPr>
          <w:p w14:paraId="0C42A29D" w14:textId="5763B0A1" w:rsidR="00E63362" w:rsidRPr="00CE716F" w:rsidRDefault="00E63362" w:rsidP="009F11D7">
            <w:pPr>
              <w:jc w:val="right"/>
              <w:rPr>
                <w:b/>
                <w:bCs/>
              </w:rPr>
            </w:pPr>
            <w:r w:rsidRPr="00CE716F">
              <w:rPr>
                <w:b/>
                <w:bCs/>
              </w:rPr>
              <w:t>Netto last in 2031</w:t>
            </w:r>
          </w:p>
        </w:tc>
        <w:tc>
          <w:tcPr>
            <w:tcW w:w="1785" w:type="dxa"/>
          </w:tcPr>
          <w:p w14:paraId="736528D0" w14:textId="6BD07CAE" w:rsidR="00E63362" w:rsidRPr="00CE716F" w:rsidRDefault="00E63362" w:rsidP="009F11D7">
            <w:pPr>
              <w:jc w:val="right"/>
              <w:rPr>
                <w:b/>
                <w:bCs/>
              </w:rPr>
            </w:pPr>
            <w:r w:rsidRPr="00CE716F">
              <w:rPr>
                <w:b/>
                <w:bCs/>
              </w:rPr>
              <w:t>Mogelijk voordeel box 3</w:t>
            </w:r>
          </w:p>
        </w:tc>
        <w:tc>
          <w:tcPr>
            <w:tcW w:w="1786" w:type="dxa"/>
          </w:tcPr>
          <w:p w14:paraId="0AA024EF" w14:textId="160D3E84" w:rsidR="00E63362" w:rsidRPr="00CE716F" w:rsidRDefault="00306BED" w:rsidP="009F11D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Netto last </w:t>
            </w:r>
            <w:proofErr w:type="spellStart"/>
            <w:r>
              <w:rPr>
                <w:b/>
                <w:bCs/>
              </w:rPr>
              <w:t>icm</w:t>
            </w:r>
            <w:proofErr w:type="spellEnd"/>
            <w:r>
              <w:rPr>
                <w:b/>
                <w:bCs/>
              </w:rPr>
              <w:t xml:space="preserve"> box 3</w:t>
            </w:r>
          </w:p>
        </w:tc>
      </w:tr>
      <w:tr w:rsidR="00E63362" w14:paraId="6F03BA43" w14:textId="2AAB68E8" w:rsidTr="00E63362">
        <w:trPr>
          <w:trHeight w:val="260"/>
        </w:trPr>
        <w:tc>
          <w:tcPr>
            <w:tcW w:w="1785" w:type="dxa"/>
          </w:tcPr>
          <w:p w14:paraId="299D772D" w14:textId="5A16E113" w:rsidR="00E63362" w:rsidRDefault="00E63362" w:rsidP="002B2317">
            <w:r>
              <w:t>€ 1.000.000</w:t>
            </w:r>
          </w:p>
        </w:tc>
        <w:tc>
          <w:tcPr>
            <w:tcW w:w="1785" w:type="dxa"/>
          </w:tcPr>
          <w:p w14:paraId="18F1C0FB" w14:textId="07442CC1" w:rsidR="00E63362" w:rsidRDefault="00E63362" w:rsidP="00F73A83">
            <w:pPr>
              <w:jc w:val="right"/>
            </w:pPr>
            <w:r>
              <w:t>€ 21.875</w:t>
            </w:r>
          </w:p>
        </w:tc>
        <w:tc>
          <w:tcPr>
            <w:tcW w:w="1785" w:type="dxa"/>
          </w:tcPr>
          <w:p w14:paraId="0D85298A" w14:textId="2BA26CC6" w:rsidR="00E63362" w:rsidRDefault="00E63362" w:rsidP="00F73A83">
            <w:pPr>
              <w:jc w:val="right"/>
            </w:pPr>
            <w:r>
              <w:t>€ 35.000</w:t>
            </w:r>
          </w:p>
        </w:tc>
        <w:tc>
          <w:tcPr>
            <w:tcW w:w="1785" w:type="dxa"/>
          </w:tcPr>
          <w:p w14:paraId="48974A21" w14:textId="34DD2D8D" w:rsidR="00E63362" w:rsidRDefault="00E63362" w:rsidP="00F73A83">
            <w:pPr>
              <w:jc w:val="right"/>
            </w:pPr>
            <w:r>
              <w:t>€ 12.600</w:t>
            </w:r>
          </w:p>
        </w:tc>
        <w:tc>
          <w:tcPr>
            <w:tcW w:w="1786" w:type="dxa"/>
          </w:tcPr>
          <w:p w14:paraId="0CE455CA" w14:textId="2629750B" w:rsidR="00E63362" w:rsidRDefault="00D0365F" w:rsidP="00F73A83">
            <w:pPr>
              <w:jc w:val="right"/>
            </w:pPr>
            <w:r>
              <w:t xml:space="preserve">€ </w:t>
            </w:r>
            <w:r w:rsidR="00183073">
              <w:t>22.400</w:t>
            </w:r>
          </w:p>
        </w:tc>
      </w:tr>
      <w:tr w:rsidR="00E63362" w14:paraId="32195EA2" w14:textId="56FC2600" w:rsidTr="00E63362">
        <w:trPr>
          <w:trHeight w:val="270"/>
        </w:trPr>
        <w:tc>
          <w:tcPr>
            <w:tcW w:w="1785" w:type="dxa"/>
          </w:tcPr>
          <w:p w14:paraId="7D0D9A37" w14:textId="498E7B37" w:rsidR="00E63362" w:rsidRDefault="00E63362" w:rsidP="002B2317">
            <w:r>
              <w:t>€ 500.000</w:t>
            </w:r>
          </w:p>
        </w:tc>
        <w:tc>
          <w:tcPr>
            <w:tcW w:w="1785" w:type="dxa"/>
          </w:tcPr>
          <w:p w14:paraId="0DE2362E" w14:textId="2DE5B2CD" w:rsidR="00E63362" w:rsidRDefault="00E63362" w:rsidP="00F73A83">
            <w:pPr>
              <w:jc w:val="right"/>
            </w:pPr>
            <w:r>
              <w:t>€</w:t>
            </w:r>
            <w:r w:rsidR="00695563">
              <w:t xml:space="preserve"> 10.937</w:t>
            </w:r>
          </w:p>
        </w:tc>
        <w:tc>
          <w:tcPr>
            <w:tcW w:w="1785" w:type="dxa"/>
          </w:tcPr>
          <w:p w14:paraId="3A45427A" w14:textId="14C4558B" w:rsidR="00E63362" w:rsidRDefault="00E63362" w:rsidP="00F73A83">
            <w:pPr>
              <w:jc w:val="right"/>
            </w:pPr>
            <w:r>
              <w:t>€</w:t>
            </w:r>
            <w:r w:rsidR="00695563">
              <w:t xml:space="preserve"> 17.500</w:t>
            </w:r>
          </w:p>
        </w:tc>
        <w:tc>
          <w:tcPr>
            <w:tcW w:w="1785" w:type="dxa"/>
          </w:tcPr>
          <w:p w14:paraId="0E140BE7" w14:textId="5C40E60E" w:rsidR="00E63362" w:rsidRDefault="00E63362" w:rsidP="00F73A83">
            <w:pPr>
              <w:jc w:val="right"/>
            </w:pPr>
            <w:r>
              <w:t>€</w:t>
            </w:r>
            <w:r w:rsidR="00695563">
              <w:t xml:space="preserve"> </w:t>
            </w:r>
            <w:r w:rsidR="00616065">
              <w:t>6.300</w:t>
            </w:r>
          </w:p>
        </w:tc>
        <w:tc>
          <w:tcPr>
            <w:tcW w:w="1786" w:type="dxa"/>
          </w:tcPr>
          <w:p w14:paraId="224AC0B8" w14:textId="64271253" w:rsidR="00E63362" w:rsidRDefault="00D0365F" w:rsidP="00F73A83">
            <w:pPr>
              <w:jc w:val="right"/>
            </w:pPr>
            <w:r>
              <w:t>€</w:t>
            </w:r>
            <w:r w:rsidR="00495640">
              <w:t xml:space="preserve"> 11.200</w:t>
            </w:r>
          </w:p>
        </w:tc>
      </w:tr>
      <w:tr w:rsidR="00E63362" w14:paraId="5B6136BB" w14:textId="05EF7E1F" w:rsidTr="00E63362">
        <w:trPr>
          <w:trHeight w:val="270"/>
        </w:trPr>
        <w:tc>
          <w:tcPr>
            <w:tcW w:w="1785" w:type="dxa"/>
          </w:tcPr>
          <w:p w14:paraId="12502BCB" w14:textId="6CCAC8FE" w:rsidR="00E63362" w:rsidRDefault="00E63362" w:rsidP="002B2317">
            <w:r>
              <w:t>€ 250.000</w:t>
            </w:r>
          </w:p>
        </w:tc>
        <w:tc>
          <w:tcPr>
            <w:tcW w:w="1785" w:type="dxa"/>
          </w:tcPr>
          <w:p w14:paraId="28ACD467" w14:textId="68DC3E64" w:rsidR="00E63362" w:rsidRDefault="00E63362" w:rsidP="00F73A83">
            <w:pPr>
              <w:jc w:val="right"/>
            </w:pPr>
            <w:r>
              <w:t>€</w:t>
            </w:r>
            <w:r w:rsidR="009A1F1E">
              <w:t xml:space="preserve"> 5.468</w:t>
            </w:r>
          </w:p>
        </w:tc>
        <w:tc>
          <w:tcPr>
            <w:tcW w:w="1785" w:type="dxa"/>
          </w:tcPr>
          <w:p w14:paraId="095D3C1A" w14:textId="35F96016" w:rsidR="00E63362" w:rsidRDefault="00E63362" w:rsidP="00F73A83">
            <w:pPr>
              <w:jc w:val="right"/>
            </w:pPr>
            <w:r>
              <w:t>€</w:t>
            </w:r>
            <w:r w:rsidR="009A1F1E">
              <w:t xml:space="preserve"> </w:t>
            </w:r>
            <w:r w:rsidR="00BD71A9">
              <w:t>8.750</w:t>
            </w:r>
          </w:p>
        </w:tc>
        <w:tc>
          <w:tcPr>
            <w:tcW w:w="1785" w:type="dxa"/>
          </w:tcPr>
          <w:p w14:paraId="58D76C43" w14:textId="37A21F57" w:rsidR="00E63362" w:rsidRDefault="00E63362" w:rsidP="00F73A83">
            <w:pPr>
              <w:jc w:val="right"/>
            </w:pPr>
            <w:r>
              <w:t>€</w:t>
            </w:r>
            <w:r w:rsidR="00BD71A9">
              <w:t xml:space="preserve"> 3.150</w:t>
            </w:r>
          </w:p>
        </w:tc>
        <w:tc>
          <w:tcPr>
            <w:tcW w:w="1786" w:type="dxa"/>
          </w:tcPr>
          <w:p w14:paraId="4FC624BB" w14:textId="5606F731" w:rsidR="00E63362" w:rsidRDefault="00D0365F" w:rsidP="00F73A83">
            <w:pPr>
              <w:jc w:val="right"/>
            </w:pPr>
            <w:r>
              <w:t>€</w:t>
            </w:r>
            <w:r w:rsidR="00BD71A9">
              <w:t xml:space="preserve"> </w:t>
            </w:r>
            <w:r w:rsidR="00EA7A5A">
              <w:t>5.600</w:t>
            </w:r>
          </w:p>
        </w:tc>
      </w:tr>
      <w:tr w:rsidR="00E63362" w14:paraId="7769326D" w14:textId="66AF8D96" w:rsidTr="00E63362">
        <w:trPr>
          <w:trHeight w:val="270"/>
        </w:trPr>
        <w:tc>
          <w:tcPr>
            <w:tcW w:w="1785" w:type="dxa"/>
          </w:tcPr>
          <w:p w14:paraId="3B7D8F75" w14:textId="51C43DB6" w:rsidR="00E63362" w:rsidRDefault="00E63362" w:rsidP="002B2317">
            <w:r>
              <w:t>€ 100.000</w:t>
            </w:r>
          </w:p>
        </w:tc>
        <w:tc>
          <w:tcPr>
            <w:tcW w:w="1785" w:type="dxa"/>
          </w:tcPr>
          <w:p w14:paraId="5AF54814" w14:textId="14CC84F7" w:rsidR="00E63362" w:rsidRDefault="00E63362" w:rsidP="00F73A83">
            <w:pPr>
              <w:jc w:val="right"/>
            </w:pPr>
            <w:r>
              <w:t>€</w:t>
            </w:r>
            <w:r w:rsidR="003037FC">
              <w:t xml:space="preserve"> 2.187</w:t>
            </w:r>
            <w:r w:rsidR="00EA7A5A">
              <w:t xml:space="preserve"> </w:t>
            </w:r>
          </w:p>
        </w:tc>
        <w:tc>
          <w:tcPr>
            <w:tcW w:w="1785" w:type="dxa"/>
          </w:tcPr>
          <w:p w14:paraId="0EDB1989" w14:textId="76A8E85C" w:rsidR="00E63362" w:rsidRDefault="00E63362" w:rsidP="00F73A83">
            <w:pPr>
              <w:jc w:val="right"/>
            </w:pPr>
            <w:r>
              <w:t>€</w:t>
            </w:r>
            <w:r w:rsidR="00EA7A5A">
              <w:t xml:space="preserve"> 3.500</w:t>
            </w:r>
          </w:p>
        </w:tc>
        <w:tc>
          <w:tcPr>
            <w:tcW w:w="1785" w:type="dxa"/>
          </w:tcPr>
          <w:p w14:paraId="066F5053" w14:textId="13EBA3D0" w:rsidR="00E63362" w:rsidRDefault="00E63362" w:rsidP="00F73A83">
            <w:pPr>
              <w:jc w:val="right"/>
            </w:pPr>
            <w:r>
              <w:t>€</w:t>
            </w:r>
            <w:r w:rsidR="00EA7A5A">
              <w:t xml:space="preserve"> </w:t>
            </w:r>
            <w:r w:rsidR="005C0CF3">
              <w:t>1.260</w:t>
            </w:r>
          </w:p>
        </w:tc>
        <w:tc>
          <w:tcPr>
            <w:tcW w:w="1786" w:type="dxa"/>
          </w:tcPr>
          <w:p w14:paraId="77D79F63" w14:textId="1F6CD1B7" w:rsidR="00E63362" w:rsidRDefault="00D0365F" w:rsidP="00F73A83">
            <w:pPr>
              <w:jc w:val="right"/>
            </w:pPr>
            <w:r>
              <w:t>€</w:t>
            </w:r>
            <w:r w:rsidR="003037FC">
              <w:t xml:space="preserve"> 2.240</w:t>
            </w:r>
          </w:p>
        </w:tc>
      </w:tr>
    </w:tbl>
    <w:p w14:paraId="27A289D9" w14:textId="77777777" w:rsidR="0094665F" w:rsidRDefault="0094665F" w:rsidP="002B2317"/>
    <w:p w14:paraId="640BB4F9" w14:textId="281E4758" w:rsidR="00DE5510" w:rsidRDefault="00DE5510" w:rsidP="002B2317">
      <w:r>
        <w:t xml:space="preserve">Bij een aflossingsvrije hypotheek van € 500.000 neemt de netto last </w:t>
      </w:r>
      <w:r w:rsidR="007624BE">
        <w:t>in 2031 toe van € 10.937 naar € 17.500</w:t>
      </w:r>
      <w:r w:rsidR="00503997">
        <w:t xml:space="preserve">. </w:t>
      </w:r>
      <w:r w:rsidR="009E20DE">
        <w:t>Komt</w:t>
      </w:r>
      <w:r w:rsidR="00503997">
        <w:t xml:space="preserve"> de rente in mindering op inkomen van box 3</w:t>
      </w:r>
      <w:r w:rsidR="009E20DE">
        <w:t>?</w:t>
      </w:r>
      <w:r w:rsidR="00736574">
        <w:t xml:space="preserve"> </w:t>
      </w:r>
      <w:r w:rsidR="009E20DE">
        <w:t xml:space="preserve">Dan </w:t>
      </w:r>
      <w:r w:rsidR="002703FE">
        <w:t xml:space="preserve">neemt de netto last af tot € 11.200. </w:t>
      </w:r>
      <w:r w:rsidR="0072408F">
        <w:t xml:space="preserve">Het vervallen van de renteaftrek in box 1 heeft dan een minimaal effect. </w:t>
      </w:r>
      <w:r w:rsidR="002703FE">
        <w:t xml:space="preserve"> </w:t>
      </w:r>
    </w:p>
    <w:p w14:paraId="31062A69" w14:textId="77777777" w:rsidR="008A73F0" w:rsidRDefault="00995AEA" w:rsidP="00547AD6">
      <w:r>
        <w:t xml:space="preserve">In 2031 </w:t>
      </w:r>
      <w:r w:rsidR="00CD343C" w:rsidRPr="00CD343C">
        <w:t>geldt door</w:t>
      </w:r>
      <w:r>
        <w:t xml:space="preserve"> de Hillen-aftrek </w:t>
      </w:r>
      <w:r w:rsidR="00CD343C" w:rsidRPr="00CD343C">
        <w:t xml:space="preserve">nog </w:t>
      </w:r>
      <w:r>
        <w:t xml:space="preserve">een korting op het eigenwoningforfait. </w:t>
      </w:r>
      <w:r w:rsidR="00CD343C" w:rsidRPr="00CD343C">
        <w:t>Hoe groot dat</w:t>
      </w:r>
      <w:r>
        <w:t xml:space="preserve"> voordeel is</w:t>
      </w:r>
      <w:r w:rsidR="00CD343C" w:rsidRPr="00CD343C">
        <w:t>, hangt af</w:t>
      </w:r>
      <w:r>
        <w:t xml:space="preserve"> van de WOZ-waarde van de woning. Dit effect </w:t>
      </w:r>
      <w:r w:rsidR="00CD343C" w:rsidRPr="00CD343C">
        <w:t>is</w:t>
      </w:r>
      <w:r>
        <w:t xml:space="preserve"> niet </w:t>
      </w:r>
      <w:r w:rsidR="00CD343C" w:rsidRPr="00CD343C">
        <w:t xml:space="preserve">meegenomen </w:t>
      </w:r>
      <w:r>
        <w:t xml:space="preserve">in de </w:t>
      </w:r>
      <w:r w:rsidR="00CD343C" w:rsidRPr="00CD343C">
        <w:t>berekening. Samen</w:t>
      </w:r>
      <w:r>
        <w:t xml:space="preserve"> met renteaftrek in box 3 kan de netto last </w:t>
      </w:r>
      <w:r w:rsidR="00CD343C" w:rsidRPr="00CD343C">
        <w:t>daardoor enkele</w:t>
      </w:r>
      <w:r>
        <w:t xml:space="preserve"> jaren lager </w:t>
      </w:r>
      <w:r w:rsidR="00CD343C" w:rsidRPr="00CD343C">
        <w:t>uitvallen</w:t>
      </w:r>
      <w:r>
        <w:t xml:space="preserve"> dan </w:t>
      </w:r>
      <w:r w:rsidR="00CD343C" w:rsidRPr="00CD343C">
        <w:t>nu.</w:t>
      </w:r>
    </w:p>
    <w:p w14:paraId="1B8B2C8B" w14:textId="44460237" w:rsidR="007711D2" w:rsidRPr="007711D2" w:rsidRDefault="00CA33D0" w:rsidP="002B2317">
      <w:pPr>
        <w:rPr>
          <w:b/>
          <w:bCs/>
        </w:rPr>
      </w:pPr>
      <w:r>
        <w:rPr>
          <w:b/>
          <w:bCs/>
        </w:rPr>
        <w:t>Doelstellingen uit beeld</w:t>
      </w:r>
    </w:p>
    <w:p w14:paraId="75899B8A" w14:textId="77777777" w:rsidR="007711D2" w:rsidRDefault="007711D2" w:rsidP="007711D2">
      <w:r>
        <w:t>Deze constatering leidt tot een aantal aandachtspunten:</w:t>
      </w:r>
    </w:p>
    <w:p w14:paraId="3B20F5EB" w14:textId="77777777" w:rsidR="007711D2" w:rsidRPr="00034ECE" w:rsidRDefault="007711D2" w:rsidP="007711D2">
      <w:pPr>
        <w:pStyle w:val="Lijstalinea"/>
        <w:numPr>
          <w:ilvl w:val="0"/>
          <w:numId w:val="1"/>
        </w:numPr>
      </w:pPr>
      <w:r>
        <w:t xml:space="preserve">Mensen met voldoende inkomen in box 3 hebben geen last van het eindigen van de hypotheekrenteaftrek en mensen zonder inkomen in box 3 wel. Dit vergroot de </w:t>
      </w:r>
      <w:r w:rsidRPr="00034ECE">
        <w:t>ongelijkheid</w:t>
      </w:r>
      <w:r>
        <w:t xml:space="preserve"> tussen deze groepen.</w:t>
      </w:r>
    </w:p>
    <w:p w14:paraId="7A870AB7" w14:textId="77777777" w:rsidR="007711D2" w:rsidRDefault="007711D2" w:rsidP="007711D2">
      <w:pPr>
        <w:pStyle w:val="Lijstalinea"/>
        <w:numPr>
          <w:ilvl w:val="0"/>
          <w:numId w:val="1"/>
        </w:numPr>
      </w:pPr>
      <w:r>
        <w:t>De doelstelling om schulden te verminderen komt minder goed uit de verf. Wel hebben banken inmiddels maatregelen genomen om aflossingsvrije hypotheken te verminderen.</w:t>
      </w:r>
    </w:p>
    <w:p w14:paraId="29B30039" w14:textId="77777777" w:rsidR="007711D2" w:rsidRDefault="007711D2" w:rsidP="007711D2">
      <w:pPr>
        <w:pStyle w:val="Lijstalinea"/>
        <w:numPr>
          <w:ilvl w:val="0"/>
          <w:numId w:val="1"/>
        </w:numPr>
      </w:pPr>
      <w:r>
        <w:t>De 30-jaarstermijn moet extra belastinginkomsten opleveren. De ‘brug’ naar box 3 zet dat onder druk.</w:t>
      </w:r>
    </w:p>
    <w:p w14:paraId="56A5CD04" w14:textId="447F1F13" w:rsidR="00526268" w:rsidRPr="00E900E8" w:rsidRDefault="00E11BFA" w:rsidP="00526268">
      <w:pPr>
        <w:rPr>
          <w:b/>
          <w:bCs/>
        </w:rPr>
      </w:pPr>
      <w:r w:rsidRPr="00E900E8">
        <w:rPr>
          <w:b/>
          <w:bCs/>
        </w:rPr>
        <w:t xml:space="preserve">De politieke </w:t>
      </w:r>
      <w:r w:rsidR="00E900E8" w:rsidRPr="00E900E8">
        <w:rPr>
          <w:b/>
          <w:bCs/>
        </w:rPr>
        <w:t>uitdaging</w:t>
      </w:r>
    </w:p>
    <w:p w14:paraId="7FA0F1CA" w14:textId="3AC8C213" w:rsidR="00930A62" w:rsidRDefault="00617D0F" w:rsidP="00526268">
      <w:r>
        <w:t xml:space="preserve">Periodiek laait de discussie over de hypotheekrenteaftrek op. Die </w:t>
      </w:r>
      <w:r w:rsidR="001E1617">
        <w:t>staat niet los van</w:t>
      </w:r>
      <w:r>
        <w:t xml:space="preserve"> de problemen op de woningmarkt. </w:t>
      </w:r>
      <w:r w:rsidR="00C305D5">
        <w:t xml:space="preserve">Qua budgettaire </w:t>
      </w:r>
      <w:r w:rsidR="005D2410">
        <w:t xml:space="preserve">impact en het aantal mensen dat het raakt, zijn dit wellicht de grootste politieke dossiers </w:t>
      </w:r>
      <w:r w:rsidR="00292649">
        <w:t xml:space="preserve">van dit moment. De evaluatie van de 30-jaarstermijn </w:t>
      </w:r>
      <w:r w:rsidR="00F144C8">
        <w:t>zet</w:t>
      </w:r>
      <w:r w:rsidR="008F5E5B">
        <w:t xml:space="preserve"> deze problematiek </w:t>
      </w:r>
      <w:r w:rsidR="00F144C8">
        <w:t>opnieuw op de agenda</w:t>
      </w:r>
      <w:r w:rsidR="00CA189F">
        <w:t xml:space="preserve">. </w:t>
      </w:r>
    </w:p>
    <w:p w14:paraId="4F5E3286" w14:textId="20917633" w:rsidR="0042377F" w:rsidRDefault="00DC0711" w:rsidP="000F541E">
      <w:r>
        <w:t xml:space="preserve">Een integrale oplossing is waarschijnlijk het best. </w:t>
      </w:r>
      <w:r w:rsidR="005F7446">
        <w:t xml:space="preserve">Woningmarkt, </w:t>
      </w:r>
      <w:r w:rsidR="00CE1EE2">
        <w:t>hypotheekrenteaftrek, box 3, vermogensongelijkheid</w:t>
      </w:r>
      <w:r w:rsidR="00697494">
        <w:t xml:space="preserve">, </w:t>
      </w:r>
      <w:r w:rsidR="00697494" w:rsidRPr="00697494">
        <w:t>intergenerationele ongelijkhei</w:t>
      </w:r>
      <w:r w:rsidR="00697494">
        <w:t>d</w:t>
      </w:r>
      <w:r w:rsidR="00280477">
        <w:t xml:space="preserve">; deze dossiers zijn allemaal aan elkaar verbonden. </w:t>
      </w:r>
      <w:r w:rsidR="00071522">
        <w:t>Gaat deze uitdaging de politiek verbinden of juist verdeeld houden?</w:t>
      </w:r>
      <w:r w:rsidR="005D210F">
        <w:t xml:space="preserve"> </w:t>
      </w:r>
      <w:r w:rsidR="002305B0" w:rsidRPr="002305B0">
        <w:t>De politiek houdt de boot nog af</w:t>
      </w:r>
      <w:r w:rsidR="0042377F">
        <w:t xml:space="preserve">. De klok tikt rustig door en brengt 2031 steeds </w:t>
      </w:r>
      <w:r w:rsidR="000C38B4">
        <w:t>dichterbij</w:t>
      </w:r>
      <w:r w:rsidR="0042377F">
        <w:t xml:space="preserve">. </w:t>
      </w:r>
    </w:p>
    <w:p w14:paraId="41F5AE9B" w14:textId="7AB2C2CB" w:rsidR="005D210F" w:rsidRPr="005D210F" w:rsidRDefault="005D210F" w:rsidP="005D210F"/>
    <w:p w14:paraId="62A9B8CB" w14:textId="09385338" w:rsidR="008A73F0" w:rsidRDefault="008A73F0" w:rsidP="00526268"/>
    <w:sectPr w:rsidR="008A7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N AMRO Sans SemiBold">
    <w:panose1 w:val="020B0704040000000004"/>
    <w:charset w:val="00"/>
    <w:family w:val="swiss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40059"/>
    <w:multiLevelType w:val="multilevel"/>
    <w:tmpl w:val="F28E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D35487"/>
    <w:multiLevelType w:val="multilevel"/>
    <w:tmpl w:val="F2FE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871243"/>
    <w:multiLevelType w:val="hybridMultilevel"/>
    <w:tmpl w:val="A16648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5987975">
    <w:abstractNumId w:val="2"/>
  </w:num>
  <w:num w:numId="2" w16cid:durableId="1761565863">
    <w:abstractNumId w:val="0"/>
  </w:num>
  <w:num w:numId="3" w16cid:durableId="509494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CE"/>
    <w:rsid w:val="000260D3"/>
    <w:rsid w:val="00034ECE"/>
    <w:rsid w:val="00055758"/>
    <w:rsid w:val="00060440"/>
    <w:rsid w:val="00071522"/>
    <w:rsid w:val="000730CB"/>
    <w:rsid w:val="00083132"/>
    <w:rsid w:val="000844A0"/>
    <w:rsid w:val="000844CE"/>
    <w:rsid w:val="000A089A"/>
    <w:rsid w:val="000A78CB"/>
    <w:rsid w:val="000A790A"/>
    <w:rsid w:val="000B2845"/>
    <w:rsid w:val="000C38B4"/>
    <w:rsid w:val="000C5F17"/>
    <w:rsid w:val="000F162F"/>
    <w:rsid w:val="000F541E"/>
    <w:rsid w:val="00105B76"/>
    <w:rsid w:val="00125E29"/>
    <w:rsid w:val="00130AAE"/>
    <w:rsid w:val="00154BCC"/>
    <w:rsid w:val="001609F2"/>
    <w:rsid w:val="00165F8D"/>
    <w:rsid w:val="00177212"/>
    <w:rsid w:val="00183073"/>
    <w:rsid w:val="00184FCC"/>
    <w:rsid w:val="00187379"/>
    <w:rsid w:val="001929C2"/>
    <w:rsid w:val="00196D01"/>
    <w:rsid w:val="001A09CB"/>
    <w:rsid w:val="001A0F3B"/>
    <w:rsid w:val="001B557B"/>
    <w:rsid w:val="001C39FC"/>
    <w:rsid w:val="001D2C80"/>
    <w:rsid w:val="001E1617"/>
    <w:rsid w:val="001F1A2F"/>
    <w:rsid w:val="001F2901"/>
    <w:rsid w:val="001F6D24"/>
    <w:rsid w:val="001F6FF7"/>
    <w:rsid w:val="001F7EE4"/>
    <w:rsid w:val="002065EF"/>
    <w:rsid w:val="00211E4F"/>
    <w:rsid w:val="0021230C"/>
    <w:rsid w:val="002212A5"/>
    <w:rsid w:val="00222E2D"/>
    <w:rsid w:val="002305B0"/>
    <w:rsid w:val="00235731"/>
    <w:rsid w:val="0024601A"/>
    <w:rsid w:val="00250F27"/>
    <w:rsid w:val="00256286"/>
    <w:rsid w:val="00261421"/>
    <w:rsid w:val="00261D9D"/>
    <w:rsid w:val="002703FE"/>
    <w:rsid w:val="00270E2F"/>
    <w:rsid w:val="00272EBA"/>
    <w:rsid w:val="00280477"/>
    <w:rsid w:val="00282A16"/>
    <w:rsid w:val="002908F3"/>
    <w:rsid w:val="00292649"/>
    <w:rsid w:val="00293419"/>
    <w:rsid w:val="002A5CCD"/>
    <w:rsid w:val="002B2317"/>
    <w:rsid w:val="002B4025"/>
    <w:rsid w:val="002C6DD8"/>
    <w:rsid w:val="002C74DE"/>
    <w:rsid w:val="002D495E"/>
    <w:rsid w:val="002E0B3C"/>
    <w:rsid w:val="002E31D3"/>
    <w:rsid w:val="002F4783"/>
    <w:rsid w:val="003037FC"/>
    <w:rsid w:val="00306BED"/>
    <w:rsid w:val="003074CD"/>
    <w:rsid w:val="003114F3"/>
    <w:rsid w:val="003157BE"/>
    <w:rsid w:val="00360AEF"/>
    <w:rsid w:val="003613C4"/>
    <w:rsid w:val="00364525"/>
    <w:rsid w:val="0037147B"/>
    <w:rsid w:val="00377B3E"/>
    <w:rsid w:val="00380CB2"/>
    <w:rsid w:val="00383572"/>
    <w:rsid w:val="003971CD"/>
    <w:rsid w:val="003A2DF1"/>
    <w:rsid w:val="003B49E8"/>
    <w:rsid w:val="003C3F48"/>
    <w:rsid w:val="003C457B"/>
    <w:rsid w:val="003C6033"/>
    <w:rsid w:val="003D26B4"/>
    <w:rsid w:val="003E3DE3"/>
    <w:rsid w:val="003F5DE3"/>
    <w:rsid w:val="004038AA"/>
    <w:rsid w:val="00406C1E"/>
    <w:rsid w:val="00412C67"/>
    <w:rsid w:val="004203D4"/>
    <w:rsid w:val="0042377F"/>
    <w:rsid w:val="004256E9"/>
    <w:rsid w:val="00427ED3"/>
    <w:rsid w:val="00430E6B"/>
    <w:rsid w:val="00435E57"/>
    <w:rsid w:val="004438FF"/>
    <w:rsid w:val="00444105"/>
    <w:rsid w:val="00453611"/>
    <w:rsid w:val="00455C85"/>
    <w:rsid w:val="00492674"/>
    <w:rsid w:val="00495640"/>
    <w:rsid w:val="004B3325"/>
    <w:rsid w:val="004C2B37"/>
    <w:rsid w:val="004C442C"/>
    <w:rsid w:val="004D368B"/>
    <w:rsid w:val="004D654E"/>
    <w:rsid w:val="004E3F89"/>
    <w:rsid w:val="004E49CE"/>
    <w:rsid w:val="004E6C84"/>
    <w:rsid w:val="004F3571"/>
    <w:rsid w:val="00503997"/>
    <w:rsid w:val="00511C2C"/>
    <w:rsid w:val="00526268"/>
    <w:rsid w:val="00556BDA"/>
    <w:rsid w:val="00570A38"/>
    <w:rsid w:val="00571DE0"/>
    <w:rsid w:val="0058039A"/>
    <w:rsid w:val="005A76E5"/>
    <w:rsid w:val="005B6FE2"/>
    <w:rsid w:val="005C0CF3"/>
    <w:rsid w:val="005C7001"/>
    <w:rsid w:val="005D210F"/>
    <w:rsid w:val="005D2410"/>
    <w:rsid w:val="005D7840"/>
    <w:rsid w:val="005F7446"/>
    <w:rsid w:val="00616065"/>
    <w:rsid w:val="00617D0F"/>
    <w:rsid w:val="00632C73"/>
    <w:rsid w:val="00634256"/>
    <w:rsid w:val="00645F87"/>
    <w:rsid w:val="00654148"/>
    <w:rsid w:val="006636B9"/>
    <w:rsid w:val="00666D5D"/>
    <w:rsid w:val="00671F2F"/>
    <w:rsid w:val="00692349"/>
    <w:rsid w:val="00695563"/>
    <w:rsid w:val="00697494"/>
    <w:rsid w:val="006A5E07"/>
    <w:rsid w:val="006A7E0D"/>
    <w:rsid w:val="006B74BB"/>
    <w:rsid w:val="006C29F6"/>
    <w:rsid w:val="006D653E"/>
    <w:rsid w:val="006E3F39"/>
    <w:rsid w:val="006E42AB"/>
    <w:rsid w:val="006E5DA6"/>
    <w:rsid w:val="006F01F6"/>
    <w:rsid w:val="006F348D"/>
    <w:rsid w:val="006F57DE"/>
    <w:rsid w:val="00700FFA"/>
    <w:rsid w:val="007128FF"/>
    <w:rsid w:val="0071452D"/>
    <w:rsid w:val="00716CDB"/>
    <w:rsid w:val="007201E3"/>
    <w:rsid w:val="0072408F"/>
    <w:rsid w:val="00730007"/>
    <w:rsid w:val="00736574"/>
    <w:rsid w:val="0074170F"/>
    <w:rsid w:val="00744686"/>
    <w:rsid w:val="00755509"/>
    <w:rsid w:val="007624BE"/>
    <w:rsid w:val="007711D2"/>
    <w:rsid w:val="00773C1E"/>
    <w:rsid w:val="00775093"/>
    <w:rsid w:val="00775127"/>
    <w:rsid w:val="00780D0B"/>
    <w:rsid w:val="007923EC"/>
    <w:rsid w:val="007A0173"/>
    <w:rsid w:val="007A4F7D"/>
    <w:rsid w:val="007A7623"/>
    <w:rsid w:val="007C5192"/>
    <w:rsid w:val="007C6F2B"/>
    <w:rsid w:val="007D2EF3"/>
    <w:rsid w:val="007D63D6"/>
    <w:rsid w:val="007F20D2"/>
    <w:rsid w:val="007F5205"/>
    <w:rsid w:val="00823AB6"/>
    <w:rsid w:val="00824B9E"/>
    <w:rsid w:val="00832886"/>
    <w:rsid w:val="00835D9D"/>
    <w:rsid w:val="00840E4C"/>
    <w:rsid w:val="00844D0C"/>
    <w:rsid w:val="00847F2A"/>
    <w:rsid w:val="00861A86"/>
    <w:rsid w:val="008646D1"/>
    <w:rsid w:val="008662B2"/>
    <w:rsid w:val="0087229D"/>
    <w:rsid w:val="0087557F"/>
    <w:rsid w:val="00876EC6"/>
    <w:rsid w:val="00892929"/>
    <w:rsid w:val="008A1C72"/>
    <w:rsid w:val="008A73F0"/>
    <w:rsid w:val="008E1F09"/>
    <w:rsid w:val="008F0229"/>
    <w:rsid w:val="008F5390"/>
    <w:rsid w:val="008F5E5B"/>
    <w:rsid w:val="008F66C0"/>
    <w:rsid w:val="00904888"/>
    <w:rsid w:val="00907C0C"/>
    <w:rsid w:val="00920B2F"/>
    <w:rsid w:val="009269EC"/>
    <w:rsid w:val="00930198"/>
    <w:rsid w:val="00930A62"/>
    <w:rsid w:val="00935E61"/>
    <w:rsid w:val="0094665F"/>
    <w:rsid w:val="009502EB"/>
    <w:rsid w:val="00955EB0"/>
    <w:rsid w:val="00984034"/>
    <w:rsid w:val="0098464B"/>
    <w:rsid w:val="009A02BF"/>
    <w:rsid w:val="009A1F1E"/>
    <w:rsid w:val="009C2E95"/>
    <w:rsid w:val="009C38FC"/>
    <w:rsid w:val="009E20DE"/>
    <w:rsid w:val="009F11D7"/>
    <w:rsid w:val="009F61D4"/>
    <w:rsid w:val="00A01039"/>
    <w:rsid w:val="00A53AF9"/>
    <w:rsid w:val="00A55DB2"/>
    <w:rsid w:val="00A63465"/>
    <w:rsid w:val="00A636D0"/>
    <w:rsid w:val="00A64807"/>
    <w:rsid w:val="00A66EEC"/>
    <w:rsid w:val="00A67C10"/>
    <w:rsid w:val="00A778BF"/>
    <w:rsid w:val="00A85D6A"/>
    <w:rsid w:val="00AB0E48"/>
    <w:rsid w:val="00AB229C"/>
    <w:rsid w:val="00AF2563"/>
    <w:rsid w:val="00AF372F"/>
    <w:rsid w:val="00B1767A"/>
    <w:rsid w:val="00B213C0"/>
    <w:rsid w:val="00B25A5E"/>
    <w:rsid w:val="00B27EFC"/>
    <w:rsid w:val="00B32910"/>
    <w:rsid w:val="00B34C4C"/>
    <w:rsid w:val="00B407BD"/>
    <w:rsid w:val="00B40D20"/>
    <w:rsid w:val="00B52DC5"/>
    <w:rsid w:val="00B70D97"/>
    <w:rsid w:val="00B7598E"/>
    <w:rsid w:val="00B82298"/>
    <w:rsid w:val="00B923A5"/>
    <w:rsid w:val="00BB0001"/>
    <w:rsid w:val="00BB3E3C"/>
    <w:rsid w:val="00BC04F5"/>
    <w:rsid w:val="00BC7306"/>
    <w:rsid w:val="00BD71A9"/>
    <w:rsid w:val="00BE08DD"/>
    <w:rsid w:val="00BF622B"/>
    <w:rsid w:val="00C00B16"/>
    <w:rsid w:val="00C049BF"/>
    <w:rsid w:val="00C15508"/>
    <w:rsid w:val="00C177D4"/>
    <w:rsid w:val="00C220AF"/>
    <w:rsid w:val="00C26825"/>
    <w:rsid w:val="00C305D5"/>
    <w:rsid w:val="00C37EC8"/>
    <w:rsid w:val="00C40F6F"/>
    <w:rsid w:val="00C64355"/>
    <w:rsid w:val="00C7043C"/>
    <w:rsid w:val="00C72338"/>
    <w:rsid w:val="00C7712D"/>
    <w:rsid w:val="00C84BE3"/>
    <w:rsid w:val="00C95773"/>
    <w:rsid w:val="00C96D9C"/>
    <w:rsid w:val="00CA189F"/>
    <w:rsid w:val="00CA33D0"/>
    <w:rsid w:val="00CB7C6E"/>
    <w:rsid w:val="00CC37B5"/>
    <w:rsid w:val="00CD343C"/>
    <w:rsid w:val="00CE1EE2"/>
    <w:rsid w:val="00CE2173"/>
    <w:rsid w:val="00CE716F"/>
    <w:rsid w:val="00CF5ABD"/>
    <w:rsid w:val="00D00F94"/>
    <w:rsid w:val="00D00FB5"/>
    <w:rsid w:val="00D0365F"/>
    <w:rsid w:val="00D036FA"/>
    <w:rsid w:val="00D1101C"/>
    <w:rsid w:val="00D347A8"/>
    <w:rsid w:val="00D4097E"/>
    <w:rsid w:val="00D435F1"/>
    <w:rsid w:val="00D44688"/>
    <w:rsid w:val="00D5262F"/>
    <w:rsid w:val="00D63AF3"/>
    <w:rsid w:val="00D701E3"/>
    <w:rsid w:val="00D71E29"/>
    <w:rsid w:val="00D73556"/>
    <w:rsid w:val="00D7648C"/>
    <w:rsid w:val="00D764B7"/>
    <w:rsid w:val="00D80233"/>
    <w:rsid w:val="00D80AB9"/>
    <w:rsid w:val="00D93E03"/>
    <w:rsid w:val="00D94AA0"/>
    <w:rsid w:val="00DA2351"/>
    <w:rsid w:val="00DB396E"/>
    <w:rsid w:val="00DB39D3"/>
    <w:rsid w:val="00DB5471"/>
    <w:rsid w:val="00DC0711"/>
    <w:rsid w:val="00DD06D8"/>
    <w:rsid w:val="00DD1DF7"/>
    <w:rsid w:val="00DD3A9A"/>
    <w:rsid w:val="00DE5510"/>
    <w:rsid w:val="00DE7C8B"/>
    <w:rsid w:val="00DF0582"/>
    <w:rsid w:val="00E0535F"/>
    <w:rsid w:val="00E11BFA"/>
    <w:rsid w:val="00E14CBF"/>
    <w:rsid w:val="00E202E4"/>
    <w:rsid w:val="00E20703"/>
    <w:rsid w:val="00E315A5"/>
    <w:rsid w:val="00E37321"/>
    <w:rsid w:val="00E43B40"/>
    <w:rsid w:val="00E54BD0"/>
    <w:rsid w:val="00E63362"/>
    <w:rsid w:val="00E654A7"/>
    <w:rsid w:val="00E719E6"/>
    <w:rsid w:val="00E900E8"/>
    <w:rsid w:val="00E93AF9"/>
    <w:rsid w:val="00EA1DD9"/>
    <w:rsid w:val="00EA228B"/>
    <w:rsid w:val="00EA26B0"/>
    <w:rsid w:val="00EA77AE"/>
    <w:rsid w:val="00EA7A5A"/>
    <w:rsid w:val="00EA7B46"/>
    <w:rsid w:val="00EB0937"/>
    <w:rsid w:val="00EC64E6"/>
    <w:rsid w:val="00ED287F"/>
    <w:rsid w:val="00ED6C0A"/>
    <w:rsid w:val="00EE790C"/>
    <w:rsid w:val="00EF4D0D"/>
    <w:rsid w:val="00F03A4C"/>
    <w:rsid w:val="00F058A7"/>
    <w:rsid w:val="00F144C8"/>
    <w:rsid w:val="00F2499B"/>
    <w:rsid w:val="00F253BB"/>
    <w:rsid w:val="00F362CE"/>
    <w:rsid w:val="00F55AE0"/>
    <w:rsid w:val="00F67183"/>
    <w:rsid w:val="00F73A83"/>
    <w:rsid w:val="00F75627"/>
    <w:rsid w:val="00F8387C"/>
    <w:rsid w:val="00F8696B"/>
    <w:rsid w:val="00F8778D"/>
    <w:rsid w:val="00FA3C7C"/>
    <w:rsid w:val="00FB6700"/>
    <w:rsid w:val="00FC336A"/>
    <w:rsid w:val="00FC457A"/>
    <w:rsid w:val="00FF2FB3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9026"/>
  <w15:chartTrackingRefBased/>
  <w15:docId w15:val="{4865F00B-D98C-47C0-87F9-60262C82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4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4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4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4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4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4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4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4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4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4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4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4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49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49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49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49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49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49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4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4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4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4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4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49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49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49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4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49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49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347A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47A8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DE7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C04F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C04F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04F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4F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4F5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BC04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en.overheid.nl/details/96cfd450-ac09-4e06-815b-a1705eb5205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1210</Words>
  <Characters>6757</Characters>
  <Application>Microsoft Office Word</Application>
  <DocSecurity>4</DocSecurity>
  <Lines>143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ABN AMRO Bank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Tjarko Denekamp</dc:creator>
  <cp:keywords/>
  <dc:description/>
  <cp:lastModifiedBy>Tjarko Denekamp</cp:lastModifiedBy>
  <cp:revision>2</cp:revision>
  <dcterms:created xsi:type="dcterms:W3CDTF">2026-06-29T10:03:00Z</dcterms:created>
  <dcterms:modified xsi:type="dcterms:W3CDTF">2026-06-29T10:03:00Z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ce33f7-04c0-4596-9b71-ba8617e88451_Enabled">
    <vt:lpwstr>true</vt:lpwstr>
  </property>
  <property fmtid="{D5CDD505-2E9C-101B-9397-08002B2CF9AE}" pid="3" name="MSIP_Label_0bce33f7-04c0-4596-9b71-ba8617e88451_SetDate">
    <vt:lpwstr>2026-06-24T09:41:28Z</vt:lpwstr>
  </property>
  <property fmtid="{D5CDD505-2E9C-101B-9397-08002B2CF9AE}" pid="4" name="MSIP_Label_0bce33f7-04c0-4596-9b71-ba8617e88451_Method">
    <vt:lpwstr>Privileged</vt:lpwstr>
  </property>
  <property fmtid="{D5CDD505-2E9C-101B-9397-08002B2CF9AE}" pid="5" name="MSIP_Label_0bce33f7-04c0-4596-9b71-ba8617e88451_Name">
    <vt:lpwstr>0bce33f7-04c0-4596-9b71-ba8617e88451</vt:lpwstr>
  </property>
  <property fmtid="{D5CDD505-2E9C-101B-9397-08002B2CF9AE}" pid="6" name="MSIP_Label_0bce33f7-04c0-4596-9b71-ba8617e88451_SiteId">
    <vt:lpwstr>3a15904d-3fd9-4256-a753-beb05cdf0c6d</vt:lpwstr>
  </property>
  <property fmtid="{D5CDD505-2E9C-101B-9397-08002B2CF9AE}" pid="7" name="MSIP_Label_0bce33f7-04c0-4596-9b71-ba8617e88451_ActionId">
    <vt:lpwstr>07750566-915f-455b-a813-c2ca0d49fa50</vt:lpwstr>
  </property>
  <property fmtid="{D5CDD505-2E9C-101B-9397-08002B2CF9AE}" pid="8" name="MSIP_Label_0bce33f7-04c0-4596-9b71-ba8617e88451_ContentBits">
    <vt:lpwstr>0</vt:lpwstr>
  </property>
  <property fmtid="{D5CDD505-2E9C-101B-9397-08002B2CF9AE}" pid="9" name="MSIP_Label_0bce33f7-04c0-4596-9b71-ba8617e88451_Tag">
    <vt:lpwstr>10, 0, 1, 1</vt:lpwstr>
  </property>
</Properties>
</file>