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268A8" w14:textId="667584C3" w:rsidR="003836C4" w:rsidRPr="00DB2E76" w:rsidRDefault="003836C4" w:rsidP="003836C4">
      <w:pPr>
        <w:rPr>
          <w:b/>
          <w:bCs/>
          <w:sz w:val="28"/>
          <w:szCs w:val="28"/>
        </w:rPr>
      </w:pPr>
      <w:r w:rsidRPr="00DB2E76">
        <w:rPr>
          <w:b/>
          <w:bCs/>
          <w:sz w:val="28"/>
          <w:szCs w:val="28"/>
        </w:rPr>
        <w:t>Hybride box</w:t>
      </w:r>
      <w:r w:rsidR="008C636F">
        <w:rPr>
          <w:b/>
          <w:bCs/>
          <w:sz w:val="28"/>
          <w:szCs w:val="28"/>
        </w:rPr>
        <w:t xml:space="preserve"> </w:t>
      </w:r>
      <w:r w:rsidRPr="00DB2E76">
        <w:rPr>
          <w:b/>
          <w:bCs/>
          <w:sz w:val="28"/>
          <w:szCs w:val="28"/>
        </w:rPr>
        <w:t>3</w:t>
      </w:r>
      <w:r w:rsidRPr="00DB2E76">
        <w:rPr>
          <w:b/>
          <w:bCs/>
          <w:sz w:val="28"/>
          <w:szCs w:val="28"/>
        </w:rPr>
        <w:noBreakHyphen/>
        <w:t>stelsel: noodzaak regeert over ideaal</w:t>
      </w:r>
    </w:p>
    <w:p w14:paraId="57221C74" w14:textId="4C849AB6" w:rsidR="007B7E5E" w:rsidRPr="00DB2E76" w:rsidRDefault="00C26ED3" w:rsidP="007B7E5E">
      <w:pPr>
        <w:rPr>
          <w:sz w:val="28"/>
          <w:szCs w:val="28"/>
        </w:rPr>
      </w:pPr>
      <w:r>
        <w:rPr>
          <w:sz w:val="28"/>
          <w:szCs w:val="28"/>
        </w:rPr>
        <w:t xml:space="preserve">Jarenlang was de politiek het erover eens dat box 3 moest veranderen, maar was er geen overeenstemming over de </w:t>
      </w:r>
      <w:r w:rsidR="00B473F4">
        <w:rPr>
          <w:sz w:val="28"/>
          <w:szCs w:val="28"/>
        </w:rPr>
        <w:t xml:space="preserve">vraag op welke manier. </w:t>
      </w:r>
      <w:r w:rsidR="003E6D9F">
        <w:rPr>
          <w:sz w:val="28"/>
          <w:szCs w:val="28"/>
        </w:rPr>
        <w:t xml:space="preserve">Inmiddels zit </w:t>
      </w:r>
      <w:r w:rsidR="003F0917">
        <w:rPr>
          <w:sz w:val="28"/>
          <w:szCs w:val="28"/>
        </w:rPr>
        <w:t>e</w:t>
      </w:r>
      <w:r w:rsidR="00471D6E" w:rsidRPr="00DB2E76">
        <w:rPr>
          <w:sz w:val="28"/>
          <w:szCs w:val="28"/>
        </w:rPr>
        <w:t xml:space="preserve">en brede groep partijen — VVD, CDA, BBB, JA21 en PVV — </w:t>
      </w:r>
      <w:r w:rsidR="001562BA">
        <w:rPr>
          <w:sz w:val="28"/>
          <w:szCs w:val="28"/>
        </w:rPr>
        <w:t xml:space="preserve">op één lijn. Zij </w:t>
      </w:r>
      <w:r w:rsidR="00471D6E" w:rsidRPr="00DB2E76">
        <w:rPr>
          <w:sz w:val="28"/>
          <w:szCs w:val="28"/>
        </w:rPr>
        <w:t>zie</w:t>
      </w:r>
      <w:r w:rsidR="001562BA">
        <w:rPr>
          <w:sz w:val="28"/>
          <w:szCs w:val="28"/>
        </w:rPr>
        <w:t>n</w:t>
      </w:r>
      <w:r w:rsidR="00471D6E" w:rsidRPr="00DB2E76">
        <w:rPr>
          <w:sz w:val="28"/>
          <w:szCs w:val="28"/>
        </w:rPr>
        <w:t xml:space="preserve"> weinig in de voorgestelde mix van vermogensaanwas en vermogenswinst, en pleit</w:t>
      </w:r>
      <w:r w:rsidR="001562BA">
        <w:rPr>
          <w:sz w:val="28"/>
          <w:szCs w:val="28"/>
        </w:rPr>
        <w:t>en</w:t>
      </w:r>
      <w:r w:rsidR="00471D6E" w:rsidRPr="00DB2E76">
        <w:rPr>
          <w:sz w:val="28"/>
          <w:szCs w:val="28"/>
        </w:rPr>
        <w:t xml:space="preserve"> voor een volledig vermogenswinststelsel. </w:t>
      </w:r>
      <w:r w:rsidR="004F2E12">
        <w:rPr>
          <w:sz w:val="28"/>
          <w:szCs w:val="28"/>
        </w:rPr>
        <w:t>Dat gaat echter niet samen met invoering van het stelsel op 1 januari 2028, waarmee een budgettair belang is gemoeid van miljard</w:t>
      </w:r>
      <w:r w:rsidR="00323DA9">
        <w:rPr>
          <w:sz w:val="28"/>
          <w:szCs w:val="28"/>
        </w:rPr>
        <w:t>en</w:t>
      </w:r>
      <w:r w:rsidR="004F2E12">
        <w:rPr>
          <w:sz w:val="28"/>
          <w:szCs w:val="28"/>
        </w:rPr>
        <w:t xml:space="preserve">. </w:t>
      </w:r>
      <w:r w:rsidR="007B7E5E" w:rsidRPr="00DB2E76">
        <w:rPr>
          <w:sz w:val="28"/>
          <w:szCs w:val="28"/>
        </w:rPr>
        <w:t>Daardoor kan het wetsvoorstel — ondanks forse kritiek — waarschijnlijk toch op een meerderheid rekenen.</w:t>
      </w:r>
    </w:p>
    <w:p w14:paraId="6ACC9401" w14:textId="187946CF" w:rsidR="00323DA9" w:rsidRPr="00323DA9" w:rsidRDefault="00BD719C" w:rsidP="00323DA9">
      <w:pPr>
        <w:rPr>
          <w:sz w:val="28"/>
          <w:szCs w:val="28"/>
        </w:rPr>
      </w:pPr>
      <w:r w:rsidRPr="00DB2E76">
        <w:rPr>
          <w:sz w:val="28"/>
          <w:szCs w:val="28"/>
        </w:rPr>
        <w:t>Staatsse</w:t>
      </w:r>
      <w:r w:rsidR="00272C79" w:rsidRPr="00DB2E76">
        <w:rPr>
          <w:sz w:val="28"/>
          <w:szCs w:val="28"/>
        </w:rPr>
        <w:t xml:space="preserve">cretaris Fiscaliteit en Belastingdienst </w:t>
      </w:r>
      <w:r w:rsidR="003B5A6A">
        <w:rPr>
          <w:sz w:val="28"/>
          <w:szCs w:val="28"/>
        </w:rPr>
        <w:t xml:space="preserve">Heijnen </w:t>
      </w:r>
      <w:r w:rsidR="00272C79" w:rsidRPr="00DB2E76">
        <w:rPr>
          <w:sz w:val="28"/>
          <w:szCs w:val="28"/>
        </w:rPr>
        <w:t>liet weten dat het hybride model wat hem betreft “een tussenstation</w:t>
      </w:r>
      <w:r w:rsidRPr="00DB2E76">
        <w:rPr>
          <w:sz w:val="28"/>
          <w:szCs w:val="28"/>
        </w:rPr>
        <w:t>”</w:t>
      </w:r>
      <w:r w:rsidR="003C4A88">
        <w:rPr>
          <w:sz w:val="28"/>
          <w:szCs w:val="28"/>
        </w:rPr>
        <w:t xml:space="preserve"> is</w:t>
      </w:r>
      <w:r w:rsidRPr="00DB2E76">
        <w:rPr>
          <w:sz w:val="28"/>
          <w:szCs w:val="28"/>
        </w:rPr>
        <w:t>. Door eerst stabiliteit en juridische houdbaarheid te creëren, ontstaat er later ruimte voor verfijning. Of die ruimte er daadwerkelijk komt, is politiek onzeker</w:t>
      </w:r>
      <w:r w:rsidR="00323DA9">
        <w:rPr>
          <w:sz w:val="28"/>
          <w:szCs w:val="28"/>
        </w:rPr>
        <w:t xml:space="preserve"> </w:t>
      </w:r>
      <w:bookmarkStart w:id="0" w:name="_Hlk220749825"/>
      <w:r w:rsidR="00323DA9">
        <w:rPr>
          <w:sz w:val="28"/>
          <w:szCs w:val="28"/>
        </w:rPr>
        <w:t>al heeft d</w:t>
      </w:r>
      <w:r w:rsidR="00323DA9" w:rsidRPr="00323DA9">
        <w:rPr>
          <w:sz w:val="28"/>
          <w:szCs w:val="28"/>
        </w:rPr>
        <w:t xml:space="preserve">e coalitie </w:t>
      </w:r>
      <w:r w:rsidR="00323DA9">
        <w:rPr>
          <w:sz w:val="28"/>
          <w:szCs w:val="28"/>
        </w:rPr>
        <w:t>aangegeven</w:t>
      </w:r>
      <w:r w:rsidR="00323DA9" w:rsidRPr="00323DA9">
        <w:rPr>
          <w:sz w:val="28"/>
          <w:szCs w:val="28"/>
        </w:rPr>
        <w:t xml:space="preserve"> box 3 </w:t>
      </w:r>
      <w:r w:rsidR="00323DA9">
        <w:rPr>
          <w:sz w:val="28"/>
          <w:szCs w:val="28"/>
        </w:rPr>
        <w:t xml:space="preserve">te willen </w:t>
      </w:r>
      <w:r w:rsidR="00323DA9" w:rsidRPr="00323DA9">
        <w:rPr>
          <w:sz w:val="28"/>
          <w:szCs w:val="28"/>
        </w:rPr>
        <w:t>‘</w:t>
      </w:r>
      <w:r w:rsidR="00AE15CD" w:rsidRPr="00323DA9">
        <w:rPr>
          <w:sz w:val="28"/>
          <w:szCs w:val="28"/>
        </w:rPr>
        <w:t>doorontwikkelen</w:t>
      </w:r>
      <w:r w:rsidR="00323DA9" w:rsidRPr="00323DA9">
        <w:rPr>
          <w:sz w:val="28"/>
          <w:szCs w:val="28"/>
        </w:rPr>
        <w:t xml:space="preserve">’. </w:t>
      </w:r>
      <w:r w:rsidR="00323DA9">
        <w:rPr>
          <w:sz w:val="28"/>
          <w:szCs w:val="28"/>
        </w:rPr>
        <w:t>Dit betekent</w:t>
      </w:r>
      <w:r w:rsidR="00323DA9" w:rsidRPr="00323DA9">
        <w:rPr>
          <w:sz w:val="28"/>
          <w:szCs w:val="28"/>
        </w:rPr>
        <w:t xml:space="preserve"> dat de belasting op ongerealiseerde rendementen</w:t>
      </w:r>
      <w:r w:rsidR="00323DA9">
        <w:rPr>
          <w:sz w:val="28"/>
          <w:szCs w:val="28"/>
        </w:rPr>
        <w:t xml:space="preserve"> (denk aan </w:t>
      </w:r>
      <w:r w:rsidR="00323DA9" w:rsidRPr="00323DA9">
        <w:rPr>
          <w:sz w:val="28"/>
          <w:szCs w:val="28"/>
        </w:rPr>
        <w:t>nog niet verzilverde waardestijgingen van aandelen</w:t>
      </w:r>
      <w:r w:rsidR="00323DA9">
        <w:rPr>
          <w:sz w:val="28"/>
          <w:szCs w:val="28"/>
        </w:rPr>
        <w:t>)</w:t>
      </w:r>
      <w:r w:rsidR="00323DA9" w:rsidRPr="00323DA9">
        <w:rPr>
          <w:sz w:val="28"/>
          <w:szCs w:val="28"/>
        </w:rPr>
        <w:t xml:space="preserve">, wordt vervangen door een belasting op alleen gerealiseerde </w:t>
      </w:r>
      <w:r w:rsidR="00323DA9">
        <w:rPr>
          <w:sz w:val="28"/>
          <w:szCs w:val="28"/>
        </w:rPr>
        <w:t>rendementen</w:t>
      </w:r>
      <w:r w:rsidR="00323DA9" w:rsidRPr="00323DA9">
        <w:rPr>
          <w:sz w:val="28"/>
          <w:szCs w:val="28"/>
        </w:rPr>
        <w:t>.</w:t>
      </w:r>
    </w:p>
    <w:bookmarkEnd w:id="0"/>
    <w:p w14:paraId="5F1E741B" w14:textId="3F21AE91" w:rsidR="00337944" w:rsidRPr="00DB2E76" w:rsidRDefault="00323DA9" w:rsidP="00BD719C">
      <w:pPr>
        <w:rPr>
          <w:b/>
          <w:bCs/>
          <w:sz w:val="28"/>
          <w:szCs w:val="28"/>
        </w:rPr>
      </w:pPr>
      <w:r>
        <w:rPr>
          <w:b/>
          <w:bCs/>
          <w:sz w:val="28"/>
          <w:szCs w:val="28"/>
        </w:rPr>
        <w:t>A</w:t>
      </w:r>
      <w:r w:rsidR="00337944" w:rsidRPr="00DB2E76">
        <w:rPr>
          <w:b/>
          <w:bCs/>
          <w:sz w:val="28"/>
          <w:szCs w:val="28"/>
        </w:rPr>
        <w:t>mendementen</w:t>
      </w:r>
      <w:r w:rsidR="00F84ED9" w:rsidRPr="00DB2E76">
        <w:rPr>
          <w:b/>
          <w:bCs/>
          <w:sz w:val="28"/>
          <w:szCs w:val="28"/>
        </w:rPr>
        <w:t>: veel wensen, weinig ruimte</w:t>
      </w:r>
    </w:p>
    <w:p w14:paraId="341D6371" w14:textId="10682949" w:rsidR="00BD719C" w:rsidRPr="00DB2E76" w:rsidRDefault="00BD719C" w:rsidP="00272C79">
      <w:pPr>
        <w:rPr>
          <w:sz w:val="28"/>
          <w:szCs w:val="28"/>
        </w:rPr>
      </w:pPr>
      <w:r w:rsidRPr="00DB2E76">
        <w:rPr>
          <w:sz w:val="28"/>
          <w:szCs w:val="28"/>
        </w:rPr>
        <w:t xml:space="preserve">Meerdere Kamerleden kondigden aan met amendementen te komen. De verlanglijst </w:t>
      </w:r>
      <w:r w:rsidR="001A3C19" w:rsidRPr="00DB2E76">
        <w:rPr>
          <w:sz w:val="28"/>
          <w:szCs w:val="28"/>
        </w:rPr>
        <w:t>is lang</w:t>
      </w:r>
      <w:r w:rsidR="00F15A2E" w:rsidRPr="00DB2E76">
        <w:rPr>
          <w:sz w:val="28"/>
          <w:szCs w:val="28"/>
        </w:rPr>
        <w:t>.</w:t>
      </w:r>
      <w:r w:rsidRPr="00DB2E76">
        <w:rPr>
          <w:sz w:val="28"/>
          <w:szCs w:val="28"/>
        </w:rPr>
        <w:t xml:space="preserve"> De staatssecretaris temperde de verwachtingen: te grote aanpassingen zouden de toch al zwaarbelaste Belastingdienst verder onder druk zetten en de beoogde invoeringsdatum van 1 januari 2028 in gevaar brengen.</w:t>
      </w:r>
    </w:p>
    <w:p w14:paraId="2DBC7F1F" w14:textId="30400150" w:rsidR="008F55A6" w:rsidRDefault="001A3C19" w:rsidP="00272C79">
      <w:pPr>
        <w:rPr>
          <w:sz w:val="28"/>
          <w:szCs w:val="28"/>
        </w:rPr>
      </w:pPr>
      <w:r w:rsidRPr="00DB2E76">
        <w:rPr>
          <w:sz w:val="28"/>
          <w:szCs w:val="28"/>
        </w:rPr>
        <w:t xml:space="preserve">Wat ons betreft, </w:t>
      </w:r>
      <w:r w:rsidR="00F15A2E" w:rsidRPr="00DB2E76">
        <w:rPr>
          <w:sz w:val="28"/>
          <w:szCs w:val="28"/>
        </w:rPr>
        <w:t xml:space="preserve">moet </w:t>
      </w:r>
      <w:r w:rsidRPr="00DB2E76">
        <w:rPr>
          <w:sz w:val="28"/>
          <w:szCs w:val="28"/>
        </w:rPr>
        <w:t xml:space="preserve">de focus </w:t>
      </w:r>
      <w:r w:rsidR="003371B1">
        <w:rPr>
          <w:sz w:val="28"/>
          <w:szCs w:val="28"/>
        </w:rPr>
        <w:t xml:space="preserve">vooral </w:t>
      </w:r>
      <w:r w:rsidRPr="00DB2E76">
        <w:rPr>
          <w:sz w:val="28"/>
          <w:szCs w:val="28"/>
        </w:rPr>
        <w:t xml:space="preserve">liggen op </w:t>
      </w:r>
      <w:r w:rsidR="008F55A6">
        <w:rPr>
          <w:sz w:val="28"/>
          <w:szCs w:val="28"/>
        </w:rPr>
        <w:t>drie zaken:</w:t>
      </w:r>
    </w:p>
    <w:p w14:paraId="43BAEB04" w14:textId="4A843622" w:rsidR="00386FFC" w:rsidRDefault="003371B1" w:rsidP="00272C79">
      <w:pPr>
        <w:rPr>
          <w:sz w:val="28"/>
          <w:szCs w:val="28"/>
        </w:rPr>
      </w:pPr>
      <w:r>
        <w:rPr>
          <w:sz w:val="28"/>
          <w:szCs w:val="28"/>
        </w:rPr>
        <w:t xml:space="preserve">a. </w:t>
      </w:r>
      <w:r w:rsidR="001A3C19" w:rsidRPr="00DB2E76">
        <w:rPr>
          <w:sz w:val="28"/>
          <w:szCs w:val="28"/>
        </w:rPr>
        <w:t>carry-back van verliezen</w:t>
      </w:r>
    </w:p>
    <w:p w14:paraId="37B1293E" w14:textId="6143CEE4" w:rsidR="00386FFC" w:rsidRDefault="003371B1" w:rsidP="00272C79">
      <w:pPr>
        <w:rPr>
          <w:sz w:val="28"/>
          <w:szCs w:val="28"/>
        </w:rPr>
      </w:pPr>
      <w:r>
        <w:rPr>
          <w:sz w:val="28"/>
          <w:szCs w:val="28"/>
        </w:rPr>
        <w:t xml:space="preserve">b. </w:t>
      </w:r>
      <w:r w:rsidR="001A3C19" w:rsidRPr="00DB2E76">
        <w:rPr>
          <w:sz w:val="28"/>
          <w:szCs w:val="28"/>
        </w:rPr>
        <w:t>doorschuifregelingen bij life-events (zoals echtscheiding en overlijden)</w:t>
      </w:r>
    </w:p>
    <w:p w14:paraId="4E1A0B5B" w14:textId="1AB89ECF" w:rsidR="001A3C19" w:rsidRPr="00DB2E76" w:rsidRDefault="003371B1" w:rsidP="00272C79">
      <w:pPr>
        <w:rPr>
          <w:sz w:val="28"/>
          <w:szCs w:val="28"/>
        </w:rPr>
      </w:pPr>
      <w:r>
        <w:rPr>
          <w:sz w:val="28"/>
          <w:szCs w:val="28"/>
        </w:rPr>
        <w:t xml:space="preserve">c. </w:t>
      </w:r>
      <w:r w:rsidR="001A3C19" w:rsidRPr="00DB2E76">
        <w:rPr>
          <w:sz w:val="28"/>
          <w:szCs w:val="28"/>
        </w:rPr>
        <w:t>de vastgoedbijtelling.</w:t>
      </w:r>
    </w:p>
    <w:p w14:paraId="67F2A3F8" w14:textId="02772587" w:rsidR="00F15A2E" w:rsidRPr="003371B1" w:rsidRDefault="00F15A2E" w:rsidP="003371B1">
      <w:pPr>
        <w:pStyle w:val="Lijstalinea"/>
        <w:numPr>
          <w:ilvl w:val="0"/>
          <w:numId w:val="3"/>
        </w:numPr>
        <w:rPr>
          <w:b/>
          <w:bCs/>
          <w:sz w:val="28"/>
          <w:szCs w:val="28"/>
        </w:rPr>
      </w:pPr>
      <w:r w:rsidRPr="003371B1">
        <w:rPr>
          <w:b/>
          <w:bCs/>
          <w:sz w:val="28"/>
          <w:szCs w:val="28"/>
        </w:rPr>
        <w:t>Verliesverrekening</w:t>
      </w:r>
      <w:r w:rsidR="009C6392" w:rsidRPr="003371B1">
        <w:rPr>
          <w:b/>
          <w:bCs/>
          <w:sz w:val="28"/>
          <w:szCs w:val="28"/>
        </w:rPr>
        <w:t>: toch weer belastingheffing over fictieve winst?</w:t>
      </w:r>
    </w:p>
    <w:p w14:paraId="75636DDE" w14:textId="04E7E2F2" w:rsidR="000F7988" w:rsidRPr="006E517D" w:rsidRDefault="000F7988" w:rsidP="000F7988">
      <w:pPr>
        <w:spacing w:before="100" w:beforeAutospacing="1" w:after="100" w:afterAutospacing="1" w:line="300" w:lineRule="atLeast"/>
        <w:rPr>
          <w:rFonts w:eastAsia="Times New Roman" w:cs="Segoe UI"/>
          <w:kern w:val="0"/>
          <w:sz w:val="28"/>
          <w:szCs w:val="28"/>
          <w:lang w:eastAsia="nl-NL"/>
          <w14:ligatures w14:val="none"/>
        </w:rPr>
      </w:pPr>
      <w:r w:rsidRPr="006E517D">
        <w:rPr>
          <w:rFonts w:eastAsia="Times New Roman" w:cs="Segoe UI"/>
          <w:kern w:val="0"/>
          <w:sz w:val="28"/>
          <w:szCs w:val="28"/>
          <w:lang w:eastAsia="nl-NL"/>
          <w14:ligatures w14:val="none"/>
        </w:rPr>
        <w:lastRenderedPageBreak/>
        <w:t>Het voorgestelde systeem kent een belangrijk knelpunt: verliesverrekening geldt alleen voor verliezen na 1 januari 2028. Dat roept problemen op voor beleggers die vóór die datum forse waardedalingen hebben geleden.</w:t>
      </w:r>
      <w:r w:rsidRPr="00DB2E76">
        <w:rPr>
          <w:rFonts w:eastAsia="Times New Roman" w:cs="Segoe UI"/>
          <w:kern w:val="0"/>
          <w:sz w:val="28"/>
          <w:szCs w:val="28"/>
          <w:lang w:eastAsia="nl-NL"/>
          <w14:ligatures w14:val="none"/>
        </w:rPr>
        <w:t xml:space="preserve"> </w:t>
      </w:r>
    </w:p>
    <w:p w14:paraId="027ADDC8" w14:textId="77777777" w:rsidR="000F7988" w:rsidRPr="006E517D" w:rsidRDefault="000F7988" w:rsidP="000F7988">
      <w:pPr>
        <w:spacing w:before="100" w:beforeAutospacing="1" w:after="100" w:afterAutospacing="1" w:line="300" w:lineRule="atLeast"/>
        <w:rPr>
          <w:rFonts w:eastAsia="Times New Roman" w:cs="Segoe UI"/>
          <w:kern w:val="0"/>
          <w:sz w:val="28"/>
          <w:szCs w:val="28"/>
          <w:lang w:eastAsia="nl-NL"/>
          <w14:ligatures w14:val="none"/>
        </w:rPr>
      </w:pPr>
      <w:r w:rsidRPr="006E517D">
        <w:rPr>
          <w:rFonts w:eastAsia="Times New Roman" w:cs="Segoe UI"/>
          <w:kern w:val="0"/>
          <w:sz w:val="28"/>
          <w:szCs w:val="28"/>
          <w:lang w:eastAsia="nl-NL"/>
          <w14:ligatures w14:val="none"/>
        </w:rPr>
        <w:t>Een voorbeeld:</w:t>
      </w:r>
    </w:p>
    <w:p w14:paraId="3E9AE626" w14:textId="77777777" w:rsidR="000F7988" w:rsidRPr="006E517D" w:rsidRDefault="000F7988" w:rsidP="000F7988">
      <w:pPr>
        <w:numPr>
          <w:ilvl w:val="0"/>
          <w:numId w:val="2"/>
        </w:numPr>
        <w:spacing w:before="100" w:beforeAutospacing="1" w:after="100" w:afterAutospacing="1" w:line="300" w:lineRule="atLeast"/>
        <w:rPr>
          <w:rFonts w:eastAsia="Times New Roman" w:cs="Segoe UI"/>
          <w:kern w:val="0"/>
          <w:sz w:val="28"/>
          <w:szCs w:val="28"/>
          <w:lang w:eastAsia="nl-NL"/>
          <w14:ligatures w14:val="none"/>
        </w:rPr>
      </w:pPr>
      <w:r w:rsidRPr="006E517D">
        <w:rPr>
          <w:rFonts w:eastAsia="Times New Roman" w:cs="Segoe UI"/>
          <w:kern w:val="0"/>
          <w:sz w:val="28"/>
          <w:szCs w:val="28"/>
          <w:lang w:eastAsia="nl-NL"/>
          <w14:ligatures w14:val="none"/>
        </w:rPr>
        <w:t>daalt een effectenportefeuille vóór 2028,</w:t>
      </w:r>
    </w:p>
    <w:p w14:paraId="577C04E4" w14:textId="77777777" w:rsidR="000F7988" w:rsidRPr="006E517D" w:rsidRDefault="000F7988" w:rsidP="000F7988">
      <w:pPr>
        <w:numPr>
          <w:ilvl w:val="0"/>
          <w:numId w:val="2"/>
        </w:numPr>
        <w:spacing w:before="100" w:beforeAutospacing="1" w:after="100" w:afterAutospacing="1" w:line="300" w:lineRule="atLeast"/>
        <w:rPr>
          <w:rFonts w:eastAsia="Times New Roman" w:cs="Segoe UI"/>
          <w:kern w:val="0"/>
          <w:sz w:val="28"/>
          <w:szCs w:val="28"/>
          <w:lang w:eastAsia="nl-NL"/>
          <w14:ligatures w14:val="none"/>
        </w:rPr>
      </w:pPr>
      <w:r w:rsidRPr="006E517D">
        <w:rPr>
          <w:rFonts w:eastAsia="Times New Roman" w:cs="Segoe UI"/>
          <w:kern w:val="0"/>
          <w:sz w:val="28"/>
          <w:szCs w:val="28"/>
          <w:lang w:eastAsia="nl-NL"/>
          <w14:ligatures w14:val="none"/>
        </w:rPr>
        <w:t>herstelt deze in 2028 slechts tot het oorspronkelijk geïnvesteerde bedrag,</w:t>
      </w:r>
    </w:p>
    <w:p w14:paraId="770966F4" w14:textId="77777777" w:rsidR="00AE15CD" w:rsidRDefault="000F7988" w:rsidP="000F7988">
      <w:pPr>
        <w:spacing w:before="100" w:beforeAutospacing="1" w:after="100" w:afterAutospacing="1" w:line="300" w:lineRule="atLeast"/>
        <w:rPr>
          <w:rFonts w:eastAsia="Times New Roman" w:cs="Segoe UI"/>
          <w:kern w:val="0"/>
          <w:sz w:val="28"/>
          <w:szCs w:val="28"/>
          <w:lang w:eastAsia="nl-NL"/>
          <w14:ligatures w14:val="none"/>
        </w:rPr>
      </w:pPr>
      <w:r w:rsidRPr="006E517D">
        <w:rPr>
          <w:rFonts w:eastAsia="Times New Roman" w:cs="Segoe UI"/>
          <w:kern w:val="0"/>
          <w:sz w:val="28"/>
          <w:szCs w:val="28"/>
          <w:lang w:eastAsia="nl-NL"/>
          <w14:ligatures w14:val="none"/>
        </w:rPr>
        <w:t>dan moet over dat herstel worden afgerekend, ondanks dat er economisch geen winst is gerealiseerd.</w:t>
      </w:r>
      <w:r w:rsidRPr="00DB2E76">
        <w:rPr>
          <w:rFonts w:eastAsia="Times New Roman" w:cs="Segoe UI"/>
          <w:kern w:val="0"/>
          <w:sz w:val="28"/>
          <w:szCs w:val="28"/>
          <w:lang w:eastAsia="nl-NL"/>
          <w14:ligatures w14:val="none"/>
        </w:rPr>
        <w:t xml:space="preserve"> </w:t>
      </w:r>
    </w:p>
    <w:p w14:paraId="7EFE0A96" w14:textId="77777777" w:rsidR="00AE15CD" w:rsidRDefault="000F7988" w:rsidP="000F7988">
      <w:pPr>
        <w:spacing w:before="100" w:beforeAutospacing="1" w:after="100" w:afterAutospacing="1" w:line="300" w:lineRule="atLeast"/>
        <w:rPr>
          <w:rFonts w:eastAsia="Times New Roman" w:cs="Segoe UI"/>
          <w:kern w:val="0"/>
          <w:sz w:val="28"/>
          <w:szCs w:val="28"/>
          <w:lang w:eastAsia="nl-NL"/>
          <w14:ligatures w14:val="none"/>
        </w:rPr>
      </w:pPr>
      <w:r w:rsidRPr="006E517D">
        <w:rPr>
          <w:rFonts w:eastAsia="Times New Roman" w:cs="Segoe UI"/>
          <w:kern w:val="0"/>
          <w:sz w:val="28"/>
          <w:szCs w:val="28"/>
          <w:lang w:eastAsia="nl-NL"/>
          <w14:ligatures w14:val="none"/>
        </w:rPr>
        <w:t xml:space="preserve">Lijdt dezelfde belegger in 2029 opnieuw verlies, dan kan dat </w:t>
      </w:r>
      <w:r w:rsidR="00AE15CD">
        <w:rPr>
          <w:rFonts w:eastAsia="Times New Roman" w:cs="Segoe UI"/>
          <w:kern w:val="0"/>
          <w:sz w:val="28"/>
          <w:szCs w:val="28"/>
          <w:lang w:eastAsia="nl-NL"/>
          <w14:ligatures w14:val="none"/>
        </w:rPr>
        <w:t xml:space="preserve">verlies ook </w:t>
      </w:r>
      <w:r w:rsidRPr="006E517D">
        <w:rPr>
          <w:rFonts w:eastAsia="Times New Roman" w:cs="Segoe UI"/>
          <w:kern w:val="0"/>
          <w:sz w:val="28"/>
          <w:szCs w:val="28"/>
          <w:lang w:eastAsia="nl-NL"/>
          <w14:ligatures w14:val="none"/>
        </w:rPr>
        <w:t xml:space="preserve">niet </w:t>
      </w:r>
      <w:r w:rsidR="00566500">
        <w:rPr>
          <w:rFonts w:eastAsia="Times New Roman" w:cs="Segoe UI"/>
          <w:kern w:val="0"/>
          <w:sz w:val="28"/>
          <w:szCs w:val="28"/>
          <w:lang w:eastAsia="nl-NL"/>
          <w14:ligatures w14:val="none"/>
        </w:rPr>
        <w:t xml:space="preserve">achterwaarts </w:t>
      </w:r>
      <w:r w:rsidRPr="006E517D">
        <w:rPr>
          <w:rFonts w:eastAsia="Times New Roman" w:cs="Segoe UI"/>
          <w:kern w:val="0"/>
          <w:sz w:val="28"/>
          <w:szCs w:val="28"/>
          <w:lang w:eastAsia="nl-NL"/>
          <w14:ligatures w14:val="none"/>
        </w:rPr>
        <w:t>worden verrekend met de ‘winst’ van 2028</w:t>
      </w:r>
      <w:r w:rsidR="001702AD">
        <w:rPr>
          <w:rFonts w:eastAsia="Times New Roman" w:cs="Segoe UI"/>
          <w:kern w:val="0"/>
          <w:sz w:val="28"/>
          <w:szCs w:val="28"/>
          <w:lang w:eastAsia="nl-NL"/>
          <w14:ligatures w14:val="none"/>
        </w:rPr>
        <w:t xml:space="preserve">. In het nieuwe box 3-systeem is verliesverrekening alleen mogelijk met toekomstige winsten. </w:t>
      </w:r>
    </w:p>
    <w:p w14:paraId="1C389CCE" w14:textId="2387F910" w:rsidR="00AE15CD" w:rsidRPr="00DB022D" w:rsidRDefault="001702AD" w:rsidP="00AE15CD">
      <w:pPr>
        <w:spacing w:line="259" w:lineRule="auto"/>
        <w:rPr>
          <w:sz w:val="28"/>
          <w:szCs w:val="28"/>
        </w:rPr>
      </w:pPr>
      <w:r w:rsidRPr="00AE15CD">
        <w:rPr>
          <w:rFonts w:eastAsia="Times New Roman" w:cs="Segoe UI"/>
          <w:kern w:val="0"/>
          <w:sz w:val="28"/>
          <w:szCs w:val="28"/>
          <w:lang w:eastAsia="nl-NL"/>
          <w14:ligatures w14:val="none"/>
        </w:rPr>
        <w:t xml:space="preserve">Stel </w:t>
      </w:r>
      <w:r w:rsidR="00566500" w:rsidRPr="00AE15CD">
        <w:rPr>
          <w:rFonts w:eastAsia="Times New Roman" w:cs="Segoe UI"/>
          <w:kern w:val="0"/>
          <w:sz w:val="28"/>
          <w:szCs w:val="28"/>
          <w:lang w:eastAsia="nl-NL"/>
          <w14:ligatures w14:val="none"/>
        </w:rPr>
        <w:t xml:space="preserve">dat </w:t>
      </w:r>
      <w:r w:rsidRPr="00AE15CD">
        <w:rPr>
          <w:rFonts w:eastAsia="Times New Roman" w:cs="Segoe UI"/>
          <w:kern w:val="0"/>
          <w:sz w:val="28"/>
          <w:szCs w:val="28"/>
          <w:lang w:eastAsia="nl-NL"/>
          <w14:ligatures w14:val="none"/>
        </w:rPr>
        <w:t>de aandelen worden verkocht om een eigen woning te ko</w:t>
      </w:r>
      <w:r w:rsidR="00C75081" w:rsidRPr="00AE15CD">
        <w:rPr>
          <w:rFonts w:eastAsia="Times New Roman" w:cs="Segoe UI"/>
          <w:kern w:val="0"/>
          <w:sz w:val="28"/>
          <w:szCs w:val="28"/>
          <w:lang w:eastAsia="nl-NL"/>
          <w14:ligatures w14:val="none"/>
        </w:rPr>
        <w:t>p</w:t>
      </w:r>
      <w:r w:rsidRPr="00AE15CD">
        <w:rPr>
          <w:rFonts w:eastAsia="Times New Roman" w:cs="Segoe UI"/>
          <w:kern w:val="0"/>
          <w:sz w:val="28"/>
          <w:szCs w:val="28"/>
          <w:lang w:eastAsia="nl-NL"/>
          <w14:ligatures w14:val="none"/>
        </w:rPr>
        <w:t xml:space="preserve">en of de belegger overlijdt, dan </w:t>
      </w:r>
      <w:r w:rsidR="00566500" w:rsidRPr="00AE15CD">
        <w:rPr>
          <w:rFonts w:eastAsia="Times New Roman" w:cs="Segoe UI"/>
          <w:kern w:val="0"/>
          <w:sz w:val="28"/>
          <w:szCs w:val="28"/>
          <w:lang w:eastAsia="nl-NL"/>
          <w14:ligatures w14:val="none"/>
        </w:rPr>
        <w:t xml:space="preserve">blijft het verlies dus </w:t>
      </w:r>
      <w:r w:rsidR="000F7988" w:rsidRPr="00AE15CD">
        <w:rPr>
          <w:rFonts w:eastAsia="Times New Roman" w:cs="Segoe UI"/>
          <w:kern w:val="0"/>
          <w:sz w:val="28"/>
          <w:szCs w:val="28"/>
          <w:lang w:eastAsia="nl-NL"/>
          <w14:ligatures w14:val="none"/>
        </w:rPr>
        <w:t>onverrekenbaar</w:t>
      </w:r>
      <w:r w:rsidRPr="00AE15CD">
        <w:rPr>
          <w:rFonts w:eastAsia="Times New Roman" w:cs="Segoe UI"/>
          <w:kern w:val="0"/>
          <w:sz w:val="28"/>
          <w:szCs w:val="28"/>
          <w:lang w:eastAsia="nl-NL"/>
          <w14:ligatures w14:val="none"/>
        </w:rPr>
        <w:t xml:space="preserve">. </w:t>
      </w:r>
      <w:r w:rsidR="00AE15CD" w:rsidRPr="00DB022D">
        <w:rPr>
          <w:sz w:val="28"/>
          <w:szCs w:val="28"/>
        </w:rPr>
        <w:t>Hierdoor wordt belasting geheven over waardeveranderingen die economisch geen opbrengsten zijn en over rendement dat feitelijk nooit is gerealiseerd.</w:t>
      </w:r>
    </w:p>
    <w:p w14:paraId="7507269C" w14:textId="12424A78" w:rsidR="00CB13DB" w:rsidRPr="00A8159D" w:rsidRDefault="00CB13DB" w:rsidP="00A8159D">
      <w:pPr>
        <w:pStyle w:val="Lijstalinea"/>
        <w:numPr>
          <w:ilvl w:val="0"/>
          <w:numId w:val="3"/>
        </w:numPr>
        <w:rPr>
          <w:b/>
          <w:bCs/>
          <w:sz w:val="28"/>
          <w:szCs w:val="28"/>
        </w:rPr>
      </w:pPr>
      <w:bookmarkStart w:id="1" w:name="_Hlk220758897"/>
      <w:r w:rsidRPr="00A8159D">
        <w:rPr>
          <w:b/>
          <w:bCs/>
          <w:sz w:val="28"/>
          <w:szCs w:val="28"/>
        </w:rPr>
        <w:t>Doorschuifregelingen</w:t>
      </w:r>
      <w:r w:rsidR="006B17FB" w:rsidRPr="00A8159D">
        <w:rPr>
          <w:b/>
          <w:bCs/>
          <w:sz w:val="28"/>
          <w:szCs w:val="28"/>
        </w:rPr>
        <w:t>: risico op gedwongen verkopen</w:t>
      </w:r>
    </w:p>
    <w:bookmarkEnd w:id="1"/>
    <w:p w14:paraId="3BD720CB" w14:textId="77777777" w:rsidR="00E5001B" w:rsidRDefault="006B17FB" w:rsidP="005D0351">
      <w:pPr>
        <w:rPr>
          <w:sz w:val="28"/>
          <w:szCs w:val="28"/>
        </w:rPr>
      </w:pPr>
      <w:r w:rsidRPr="00DB2E76">
        <w:rPr>
          <w:sz w:val="28"/>
          <w:szCs w:val="28"/>
        </w:rPr>
        <w:t xml:space="preserve">In tegenstelling tot </w:t>
      </w:r>
      <w:r w:rsidR="001E2EB3" w:rsidRPr="00DB2E76">
        <w:rPr>
          <w:sz w:val="28"/>
          <w:szCs w:val="28"/>
        </w:rPr>
        <w:t xml:space="preserve">andere delen van de </w:t>
      </w:r>
      <w:r w:rsidR="006C42DC" w:rsidRPr="00DB2E76">
        <w:rPr>
          <w:sz w:val="28"/>
          <w:szCs w:val="28"/>
        </w:rPr>
        <w:t>inkomstenbelasting</w:t>
      </w:r>
      <w:r w:rsidR="001E2EB3" w:rsidRPr="00DB2E76">
        <w:rPr>
          <w:sz w:val="28"/>
          <w:szCs w:val="28"/>
        </w:rPr>
        <w:t>, leidt he</w:t>
      </w:r>
      <w:r w:rsidR="00CB13DB" w:rsidRPr="00DB2E76">
        <w:rPr>
          <w:sz w:val="28"/>
          <w:szCs w:val="28"/>
        </w:rPr>
        <w:t xml:space="preserve">t </w:t>
      </w:r>
      <w:r w:rsidR="006C42DC" w:rsidRPr="00DB2E76">
        <w:rPr>
          <w:sz w:val="28"/>
          <w:szCs w:val="28"/>
        </w:rPr>
        <w:t xml:space="preserve">ontstaan of </w:t>
      </w:r>
      <w:r w:rsidR="00F02777" w:rsidRPr="00DB2E76">
        <w:rPr>
          <w:sz w:val="28"/>
          <w:szCs w:val="28"/>
        </w:rPr>
        <w:t>beëindiging</w:t>
      </w:r>
      <w:r w:rsidR="006C42DC" w:rsidRPr="00DB2E76">
        <w:rPr>
          <w:sz w:val="28"/>
          <w:szCs w:val="28"/>
        </w:rPr>
        <w:t xml:space="preserve"> </w:t>
      </w:r>
      <w:r w:rsidR="00CB13DB" w:rsidRPr="00DB2E76">
        <w:rPr>
          <w:sz w:val="28"/>
          <w:szCs w:val="28"/>
        </w:rPr>
        <w:t xml:space="preserve">van een gemeenschap van goederen, </w:t>
      </w:r>
      <w:r w:rsidR="006C42DC" w:rsidRPr="00DB2E76">
        <w:rPr>
          <w:sz w:val="28"/>
          <w:szCs w:val="28"/>
        </w:rPr>
        <w:t>schenking of overlijden in het voorgestelde box 3-stelsel tot directe</w:t>
      </w:r>
      <w:r w:rsidR="00942C79" w:rsidRPr="00DB2E76">
        <w:rPr>
          <w:sz w:val="28"/>
          <w:szCs w:val="28"/>
        </w:rPr>
        <w:t xml:space="preserve"> belastingheffing</w:t>
      </w:r>
      <w:r w:rsidR="00CB13DB" w:rsidRPr="00DB2E76">
        <w:rPr>
          <w:sz w:val="28"/>
          <w:szCs w:val="28"/>
        </w:rPr>
        <w:t xml:space="preserve">. </w:t>
      </w:r>
    </w:p>
    <w:p w14:paraId="12F13C2A" w14:textId="1F19F760" w:rsidR="005D0351" w:rsidRPr="00DB2E76" w:rsidRDefault="00CB13DB" w:rsidP="005D0351">
      <w:pPr>
        <w:rPr>
          <w:sz w:val="28"/>
          <w:szCs w:val="28"/>
        </w:rPr>
      </w:pPr>
      <w:r w:rsidRPr="00DB2E76">
        <w:rPr>
          <w:sz w:val="28"/>
          <w:szCs w:val="28"/>
        </w:rPr>
        <w:t xml:space="preserve">Dat kan hele vervelende situaties opleveren. Denk aan de ondernemer die als pensioenvoorziening heeft </w:t>
      </w:r>
      <w:r w:rsidR="00F02777" w:rsidRPr="00DB2E76">
        <w:rPr>
          <w:sz w:val="28"/>
          <w:szCs w:val="28"/>
        </w:rPr>
        <w:t>geïnvesteerd</w:t>
      </w:r>
      <w:r w:rsidRPr="00DB2E76">
        <w:rPr>
          <w:sz w:val="28"/>
          <w:szCs w:val="28"/>
        </w:rPr>
        <w:t xml:space="preserve"> in een pand dat hij verhuurt. </w:t>
      </w:r>
      <w:r w:rsidR="005D0351" w:rsidRPr="006E517D">
        <w:rPr>
          <w:rFonts w:eastAsia="Times New Roman" w:cs="Segoe UI"/>
          <w:kern w:val="0"/>
          <w:sz w:val="28"/>
          <w:szCs w:val="28"/>
          <w:lang w:eastAsia="nl-NL"/>
          <w14:ligatures w14:val="none"/>
        </w:rPr>
        <w:t xml:space="preserve">Bij overlijden moet </w:t>
      </w:r>
      <w:r w:rsidR="00010551">
        <w:rPr>
          <w:rFonts w:eastAsia="Times New Roman" w:cs="Segoe UI"/>
          <w:kern w:val="0"/>
          <w:sz w:val="28"/>
          <w:szCs w:val="28"/>
          <w:lang w:eastAsia="nl-NL"/>
          <w14:ligatures w14:val="none"/>
        </w:rPr>
        <w:t>worden afgerekend</w:t>
      </w:r>
      <w:r w:rsidR="005D0351" w:rsidRPr="006E517D">
        <w:rPr>
          <w:rFonts w:eastAsia="Times New Roman" w:cs="Segoe UI"/>
          <w:kern w:val="0"/>
          <w:sz w:val="28"/>
          <w:szCs w:val="28"/>
          <w:lang w:eastAsia="nl-NL"/>
          <w14:ligatures w14:val="none"/>
        </w:rPr>
        <w:t xml:space="preserve"> over de meerwaarde.</w:t>
      </w:r>
      <w:r w:rsidR="00E5001B">
        <w:rPr>
          <w:rFonts w:eastAsia="Times New Roman" w:cs="Segoe UI"/>
          <w:kern w:val="0"/>
          <w:sz w:val="28"/>
          <w:szCs w:val="28"/>
          <w:lang w:eastAsia="nl-NL"/>
          <w14:ligatures w14:val="none"/>
        </w:rPr>
        <w:t xml:space="preserve"> </w:t>
      </w:r>
      <w:r w:rsidR="005D0351" w:rsidRPr="006E517D">
        <w:rPr>
          <w:rFonts w:eastAsia="Times New Roman" w:cs="Segoe UI"/>
          <w:kern w:val="0"/>
          <w:sz w:val="28"/>
          <w:szCs w:val="28"/>
          <w:lang w:eastAsia="nl-NL"/>
          <w14:ligatures w14:val="none"/>
        </w:rPr>
        <w:t>Banken financieren dergelijke belastingschulden nauwelijks, waardoor een gedwongen verkoop van het pand dreigt. Alternatieve financiers vragen vaak hoge rentes en aflossingen, waardoor van het voorziene ‘pensioen’ weinig overblijf</w:t>
      </w:r>
      <w:r w:rsidR="00B67173">
        <w:rPr>
          <w:rFonts w:eastAsia="Times New Roman" w:cs="Segoe UI"/>
          <w:kern w:val="0"/>
          <w:sz w:val="28"/>
          <w:szCs w:val="28"/>
          <w:lang w:eastAsia="nl-NL"/>
          <w14:ligatures w14:val="none"/>
        </w:rPr>
        <w:t>t.</w:t>
      </w:r>
      <w:r w:rsidR="009650CB">
        <w:rPr>
          <w:rFonts w:eastAsia="Times New Roman" w:cs="Segoe UI"/>
          <w:kern w:val="0"/>
          <w:sz w:val="28"/>
          <w:szCs w:val="28"/>
          <w:lang w:eastAsia="nl-NL"/>
          <w14:ligatures w14:val="none"/>
        </w:rPr>
        <w:t xml:space="preserve"> </w:t>
      </w:r>
      <w:r w:rsidR="00B86308">
        <w:rPr>
          <w:rFonts w:eastAsia="Times New Roman" w:cs="Segoe UI"/>
          <w:kern w:val="0"/>
          <w:sz w:val="28"/>
          <w:szCs w:val="28"/>
          <w:lang w:eastAsia="nl-NL"/>
          <w14:ligatures w14:val="none"/>
        </w:rPr>
        <w:t>De belastingheffing uitstellen tot het overlijden van de achterblijvende partner is in dit geval de logische oplossing.</w:t>
      </w:r>
    </w:p>
    <w:p w14:paraId="1266B5DD" w14:textId="7BD3476A" w:rsidR="00C66879" w:rsidRPr="00E5001B" w:rsidRDefault="00882263" w:rsidP="00C66879">
      <w:pPr>
        <w:pStyle w:val="Lijstalinea"/>
        <w:numPr>
          <w:ilvl w:val="0"/>
          <w:numId w:val="3"/>
        </w:numPr>
        <w:rPr>
          <w:sz w:val="28"/>
          <w:szCs w:val="28"/>
        </w:rPr>
      </w:pPr>
      <w:r w:rsidRPr="00E5001B">
        <w:rPr>
          <w:b/>
          <w:bCs/>
          <w:sz w:val="28"/>
          <w:szCs w:val="28"/>
        </w:rPr>
        <w:t>Vastgoedbijtelling</w:t>
      </w:r>
      <w:r w:rsidR="00C66879" w:rsidRPr="00E5001B">
        <w:rPr>
          <w:b/>
          <w:bCs/>
          <w:sz w:val="28"/>
          <w:szCs w:val="28"/>
        </w:rPr>
        <w:t xml:space="preserve">: </w:t>
      </w:r>
      <w:r w:rsidR="008343B1" w:rsidRPr="00E5001B">
        <w:rPr>
          <w:b/>
          <w:bCs/>
          <w:sz w:val="28"/>
          <w:szCs w:val="28"/>
        </w:rPr>
        <w:t>belasting zonder inkomen</w:t>
      </w:r>
    </w:p>
    <w:p w14:paraId="5C9A05CC" w14:textId="5C4492C8" w:rsidR="00CB13DB" w:rsidRPr="00DB2E76" w:rsidRDefault="008343B1" w:rsidP="00F15A2E">
      <w:pPr>
        <w:rPr>
          <w:sz w:val="28"/>
          <w:szCs w:val="28"/>
        </w:rPr>
      </w:pPr>
      <w:r w:rsidRPr="00DB2E76">
        <w:rPr>
          <w:sz w:val="28"/>
          <w:szCs w:val="28"/>
        </w:rPr>
        <w:t>Bij d</w:t>
      </w:r>
      <w:r w:rsidR="00882263" w:rsidRPr="00DB2E76">
        <w:rPr>
          <w:sz w:val="28"/>
          <w:szCs w:val="28"/>
        </w:rPr>
        <w:t xml:space="preserve">e </w:t>
      </w:r>
      <w:r w:rsidRPr="00DB2E76">
        <w:rPr>
          <w:sz w:val="28"/>
          <w:szCs w:val="28"/>
        </w:rPr>
        <w:t xml:space="preserve">voorgestelde </w:t>
      </w:r>
      <w:r w:rsidR="00882263" w:rsidRPr="00DB2E76">
        <w:rPr>
          <w:sz w:val="28"/>
          <w:szCs w:val="28"/>
        </w:rPr>
        <w:t>vastgoedbijtelling</w:t>
      </w:r>
      <w:r w:rsidRPr="00DB2E76">
        <w:rPr>
          <w:sz w:val="28"/>
          <w:szCs w:val="28"/>
        </w:rPr>
        <w:t xml:space="preserve"> is f</w:t>
      </w:r>
      <w:r w:rsidR="00882263" w:rsidRPr="00DB2E76">
        <w:rPr>
          <w:sz w:val="28"/>
          <w:szCs w:val="28"/>
        </w:rPr>
        <w:t xml:space="preserve">eitelijk geen sprake van inkomen en </w:t>
      </w:r>
      <w:r w:rsidRPr="00DB2E76">
        <w:rPr>
          <w:sz w:val="28"/>
          <w:szCs w:val="28"/>
        </w:rPr>
        <w:t xml:space="preserve">het </w:t>
      </w:r>
      <w:r w:rsidR="00882263" w:rsidRPr="00DB2E76">
        <w:rPr>
          <w:sz w:val="28"/>
          <w:szCs w:val="28"/>
        </w:rPr>
        <w:t xml:space="preserve">eigen gebruik </w:t>
      </w:r>
      <w:r w:rsidRPr="00DB2E76">
        <w:rPr>
          <w:sz w:val="28"/>
          <w:szCs w:val="28"/>
        </w:rPr>
        <w:t xml:space="preserve">levert </w:t>
      </w:r>
      <w:r w:rsidR="00882263" w:rsidRPr="00DB2E76">
        <w:rPr>
          <w:sz w:val="28"/>
          <w:szCs w:val="28"/>
        </w:rPr>
        <w:t xml:space="preserve">geen koopkracht op. Hooguit is er een bedrag </w:t>
      </w:r>
      <w:r w:rsidR="00882263" w:rsidRPr="00DB2E76">
        <w:rPr>
          <w:sz w:val="28"/>
          <w:szCs w:val="28"/>
        </w:rPr>
        <w:lastRenderedPageBreak/>
        <w:t xml:space="preserve">bespaard omdat er vanwege het gebruik geen huur wordt betaald. Maar dat zou dan moeten worden beperkt tot het daadwerkelijk gebruik en niet alleen maar omdat het vastgoed ter beschikking staat. Denk aan een kantoorpand dat tot verdriet van de eigenaar </w:t>
      </w:r>
      <w:r w:rsidRPr="00DB2E76">
        <w:rPr>
          <w:sz w:val="28"/>
          <w:szCs w:val="28"/>
        </w:rPr>
        <w:t xml:space="preserve">langdurig </w:t>
      </w:r>
      <w:r w:rsidR="00882263" w:rsidRPr="00DB2E76">
        <w:rPr>
          <w:sz w:val="28"/>
          <w:szCs w:val="28"/>
        </w:rPr>
        <w:t>leegstaat en waar dan tot overmaat van ramp, ook nog belasting moet worden betaald wegens ‘eigen gebruik’.</w:t>
      </w:r>
    </w:p>
    <w:p w14:paraId="695F4F83" w14:textId="21E14BDE" w:rsidR="004F374B" w:rsidRPr="006E517D" w:rsidRDefault="004F374B" w:rsidP="004F374B">
      <w:pPr>
        <w:rPr>
          <w:b/>
          <w:bCs/>
          <w:sz w:val="28"/>
          <w:szCs w:val="28"/>
        </w:rPr>
      </w:pPr>
      <w:r w:rsidRPr="006E517D">
        <w:rPr>
          <w:b/>
          <w:bCs/>
          <w:sz w:val="28"/>
          <w:szCs w:val="28"/>
        </w:rPr>
        <w:t>Vermogensaanwas versus vermogenswinst: geen simpele timingkwestie</w:t>
      </w:r>
    </w:p>
    <w:p w14:paraId="087A3AA5" w14:textId="789D48FD" w:rsidR="004F374B" w:rsidRPr="006E517D" w:rsidRDefault="004F374B" w:rsidP="004F374B">
      <w:pPr>
        <w:rPr>
          <w:sz w:val="28"/>
          <w:szCs w:val="28"/>
        </w:rPr>
      </w:pPr>
      <w:r w:rsidRPr="006E517D">
        <w:rPr>
          <w:sz w:val="28"/>
          <w:szCs w:val="28"/>
        </w:rPr>
        <w:t xml:space="preserve">Veel tegenstanders stellen dat het verschil tussen een vermogensaanwasbelasting en een vermogenswinstbelasting slechts neerkomt op </w:t>
      </w:r>
      <w:r w:rsidR="00500789">
        <w:rPr>
          <w:sz w:val="28"/>
          <w:szCs w:val="28"/>
        </w:rPr>
        <w:t>het tijdstip van belasting</w:t>
      </w:r>
      <w:r w:rsidRPr="006E517D">
        <w:rPr>
          <w:sz w:val="28"/>
          <w:szCs w:val="28"/>
        </w:rPr>
        <w:t xml:space="preserve">betaling. </w:t>
      </w:r>
      <w:r w:rsidR="00AE15CD">
        <w:rPr>
          <w:sz w:val="28"/>
          <w:szCs w:val="28"/>
        </w:rPr>
        <w:t xml:space="preserve">Anderen menen dat bij een vermogensaanwasbelasting meer belasting wordt betaald dan bij een vermogenswinstbelasting. </w:t>
      </w:r>
      <w:r w:rsidRPr="006E517D">
        <w:rPr>
          <w:sz w:val="28"/>
          <w:szCs w:val="28"/>
        </w:rPr>
        <w:t>Dat is te kort door de bocht. Bij een vermogenswinstbelasting kan de totale belasting</w:t>
      </w:r>
      <w:r w:rsidR="003A6D6D">
        <w:rPr>
          <w:sz w:val="28"/>
          <w:szCs w:val="28"/>
        </w:rPr>
        <w:t>opbrengst</w:t>
      </w:r>
      <w:r w:rsidRPr="006E517D">
        <w:rPr>
          <w:sz w:val="28"/>
          <w:szCs w:val="28"/>
        </w:rPr>
        <w:t xml:space="preserve"> zelfs hoger uitvallen dan de som van de jaarlijkse heffingen onder een aanwasstelsel.</w:t>
      </w:r>
      <w:r w:rsidR="000F3EE4">
        <w:rPr>
          <w:sz w:val="28"/>
          <w:szCs w:val="28"/>
        </w:rPr>
        <w:t xml:space="preserve"> </w:t>
      </w:r>
      <w:r w:rsidR="005627FD">
        <w:rPr>
          <w:sz w:val="28"/>
          <w:szCs w:val="28"/>
        </w:rPr>
        <w:t>Feit is wel dat door de tussentijdse afroming er bij een aanwasbelasting er minder rendement overblijft.</w:t>
      </w:r>
    </w:p>
    <w:p w14:paraId="54288E8D" w14:textId="143B10A4" w:rsidR="004F374B" w:rsidRPr="00DB2E76" w:rsidRDefault="004F374B" w:rsidP="004F374B">
      <w:pPr>
        <w:rPr>
          <w:sz w:val="28"/>
          <w:szCs w:val="28"/>
        </w:rPr>
      </w:pPr>
      <w:r w:rsidRPr="006E517D">
        <w:rPr>
          <w:sz w:val="28"/>
          <w:szCs w:val="28"/>
        </w:rPr>
        <w:t xml:space="preserve">Het nadeel </w:t>
      </w:r>
      <w:r w:rsidR="00781ADF">
        <w:rPr>
          <w:sz w:val="28"/>
          <w:szCs w:val="28"/>
        </w:rPr>
        <w:t xml:space="preserve">van een vermogenswinstbelasting is </w:t>
      </w:r>
      <w:r w:rsidRPr="006E517D">
        <w:rPr>
          <w:sz w:val="28"/>
          <w:szCs w:val="28"/>
        </w:rPr>
        <w:t xml:space="preserve">voor het kabinet vooral budgettair: een vermogenswinstsysteem leidt tot latere belastingontvangsten, die moeten vooraf </w:t>
      </w:r>
      <w:r w:rsidR="00FF78C5">
        <w:rPr>
          <w:sz w:val="28"/>
          <w:szCs w:val="28"/>
        </w:rPr>
        <w:t xml:space="preserve">worden </w:t>
      </w:r>
      <w:r w:rsidRPr="006E517D">
        <w:rPr>
          <w:sz w:val="28"/>
          <w:szCs w:val="28"/>
        </w:rPr>
        <w:t>gefinancierd, wat neerkomt op een reëel rentenadeel.</w:t>
      </w:r>
    </w:p>
    <w:p w14:paraId="15A07E66" w14:textId="014B52D4" w:rsidR="008A608B" w:rsidRDefault="00266440" w:rsidP="00266440">
      <w:pPr>
        <w:rPr>
          <w:sz w:val="28"/>
          <w:szCs w:val="28"/>
        </w:rPr>
      </w:pPr>
      <w:r w:rsidRPr="006E517D">
        <w:rPr>
          <w:sz w:val="28"/>
          <w:szCs w:val="28"/>
        </w:rPr>
        <w:t>Voor illiquide bezittingen, zoals vastgoed of private equity, heeft een vermogenswinststelsel duidelijke voordelen — het voorkomt ingewikkelde waarderingsdiscussies</w:t>
      </w:r>
      <w:r w:rsidR="00323DA9">
        <w:rPr>
          <w:sz w:val="28"/>
          <w:szCs w:val="28"/>
        </w:rPr>
        <w:t xml:space="preserve"> met de Belastingdienst</w:t>
      </w:r>
      <w:r w:rsidRPr="006E517D">
        <w:rPr>
          <w:sz w:val="28"/>
          <w:szCs w:val="28"/>
        </w:rPr>
        <w:t>.</w:t>
      </w:r>
    </w:p>
    <w:p w14:paraId="4F50AE61" w14:textId="0FC123F3" w:rsidR="00266440" w:rsidRPr="006E517D" w:rsidRDefault="00266440" w:rsidP="00266440">
      <w:pPr>
        <w:rPr>
          <w:sz w:val="28"/>
          <w:szCs w:val="28"/>
        </w:rPr>
      </w:pPr>
      <w:r w:rsidRPr="006E517D">
        <w:rPr>
          <w:sz w:val="28"/>
          <w:szCs w:val="28"/>
        </w:rPr>
        <w:t xml:space="preserve">Bij liquide beleggingen, zoals beursgenoteerde effecten, spelen die problemen </w:t>
      </w:r>
      <w:r w:rsidR="00B103F9">
        <w:rPr>
          <w:sz w:val="28"/>
          <w:szCs w:val="28"/>
        </w:rPr>
        <w:t xml:space="preserve">bij een vermogensaanwasbelasting </w:t>
      </w:r>
      <w:r w:rsidRPr="006E517D">
        <w:rPr>
          <w:sz w:val="28"/>
          <w:szCs w:val="28"/>
        </w:rPr>
        <w:t xml:space="preserve">minder. </w:t>
      </w:r>
      <w:r w:rsidR="00E51AE5">
        <w:rPr>
          <w:sz w:val="28"/>
          <w:szCs w:val="28"/>
        </w:rPr>
        <w:t>Overigens weten v</w:t>
      </w:r>
      <w:r w:rsidR="00DB2E76" w:rsidRPr="00DB2E76">
        <w:rPr>
          <w:sz w:val="28"/>
          <w:szCs w:val="28"/>
        </w:rPr>
        <w:t xml:space="preserve">eel beleggers in de BV nu al niet beter of kiezen </w:t>
      </w:r>
      <w:r w:rsidR="00B103F9">
        <w:rPr>
          <w:sz w:val="28"/>
          <w:szCs w:val="28"/>
        </w:rPr>
        <w:t xml:space="preserve">er </w:t>
      </w:r>
      <w:r w:rsidR="00DB2E76" w:rsidRPr="00DB2E76">
        <w:rPr>
          <w:sz w:val="28"/>
          <w:szCs w:val="28"/>
        </w:rPr>
        <w:t xml:space="preserve">zelfs omwille van de eenvoud </w:t>
      </w:r>
      <w:r w:rsidR="00AE15CD">
        <w:rPr>
          <w:sz w:val="28"/>
          <w:szCs w:val="28"/>
        </w:rPr>
        <w:t xml:space="preserve">voor </w:t>
      </w:r>
      <w:r w:rsidR="00DB2E76" w:rsidRPr="00DB2E76">
        <w:rPr>
          <w:sz w:val="28"/>
          <w:szCs w:val="28"/>
        </w:rPr>
        <w:t>(dus ook als het anders kan).</w:t>
      </w:r>
      <w:r w:rsidR="00EF6137">
        <w:rPr>
          <w:sz w:val="28"/>
          <w:szCs w:val="28"/>
        </w:rPr>
        <w:t xml:space="preserve"> </w:t>
      </w:r>
      <w:r w:rsidRPr="006E517D">
        <w:rPr>
          <w:sz w:val="28"/>
          <w:szCs w:val="28"/>
        </w:rPr>
        <w:t xml:space="preserve">Met het in juli 2025 gepresenteerde formulier tegenbewijs is </w:t>
      </w:r>
      <w:r w:rsidR="00E51AE5">
        <w:rPr>
          <w:sz w:val="28"/>
          <w:szCs w:val="28"/>
        </w:rPr>
        <w:t xml:space="preserve">bovendien </w:t>
      </w:r>
      <w:r w:rsidRPr="006E517D">
        <w:rPr>
          <w:sz w:val="28"/>
          <w:szCs w:val="28"/>
        </w:rPr>
        <w:t xml:space="preserve">aangetoond dat de aanlevering van gegevens </w:t>
      </w:r>
      <w:r w:rsidR="00B103F9">
        <w:rPr>
          <w:sz w:val="28"/>
          <w:szCs w:val="28"/>
        </w:rPr>
        <w:t xml:space="preserve">voor een vermogensaanwasbelasting </w:t>
      </w:r>
      <w:r w:rsidRPr="006E517D">
        <w:rPr>
          <w:sz w:val="28"/>
          <w:szCs w:val="28"/>
        </w:rPr>
        <w:t>door financiële instellingen relatief eenvoudig kan worden georganiseerd.</w:t>
      </w:r>
    </w:p>
    <w:p w14:paraId="7C772C5B" w14:textId="77777777" w:rsidR="00ED2C21" w:rsidRDefault="00AE15CD" w:rsidP="00ED2C21">
      <w:pPr>
        <w:spacing w:line="259" w:lineRule="auto"/>
        <w:rPr>
          <w:sz w:val="28"/>
          <w:szCs w:val="28"/>
        </w:rPr>
      </w:pPr>
      <w:r w:rsidRPr="00DB022D">
        <w:rPr>
          <w:sz w:val="28"/>
          <w:szCs w:val="28"/>
        </w:rPr>
        <w:t xml:space="preserve">De coalitie wil ook voor liquide beleggingen naar een vermogenswinstbelasting. Tot dat moment zou een verruiming van de </w:t>
      </w:r>
      <w:r w:rsidR="00ED2C21">
        <w:rPr>
          <w:sz w:val="28"/>
          <w:szCs w:val="28"/>
        </w:rPr>
        <w:lastRenderedPageBreak/>
        <w:t xml:space="preserve">gebrekkige mogelijkheid tot </w:t>
      </w:r>
      <w:r w:rsidRPr="00DB022D">
        <w:rPr>
          <w:sz w:val="28"/>
          <w:szCs w:val="28"/>
        </w:rPr>
        <w:t>verliesverrekening</w:t>
      </w:r>
      <w:r w:rsidR="00ED2C21">
        <w:rPr>
          <w:sz w:val="28"/>
          <w:szCs w:val="28"/>
        </w:rPr>
        <w:t xml:space="preserve">, </w:t>
      </w:r>
      <w:r w:rsidRPr="00DB022D">
        <w:rPr>
          <w:sz w:val="28"/>
          <w:szCs w:val="28"/>
        </w:rPr>
        <w:t>bezwaren van beleggers tegen de aanwasbelasting aanzienlijk verminderen.</w:t>
      </w:r>
    </w:p>
    <w:p w14:paraId="1AFB210A" w14:textId="29CB6F3C" w:rsidR="00BD719C" w:rsidRPr="00303252" w:rsidRDefault="00752B0F" w:rsidP="00ED2C21">
      <w:pPr>
        <w:spacing w:line="259" w:lineRule="auto"/>
        <w:rPr>
          <w:b/>
          <w:bCs/>
          <w:sz w:val="28"/>
          <w:szCs w:val="28"/>
        </w:rPr>
      </w:pPr>
      <w:r w:rsidRPr="00303252">
        <w:rPr>
          <w:b/>
          <w:bCs/>
          <w:sz w:val="28"/>
          <w:szCs w:val="28"/>
        </w:rPr>
        <w:t>Vervolg</w:t>
      </w:r>
    </w:p>
    <w:p w14:paraId="69CC0D2D" w14:textId="37DC4614" w:rsidR="00A00A9E" w:rsidRPr="00A00A9E" w:rsidRDefault="002F1A87" w:rsidP="00A00A9E">
      <w:pPr>
        <w:rPr>
          <w:sz w:val="28"/>
          <w:szCs w:val="28"/>
        </w:rPr>
      </w:pPr>
      <w:r>
        <w:rPr>
          <w:sz w:val="28"/>
          <w:szCs w:val="28"/>
        </w:rPr>
        <w:t xml:space="preserve">Het huidige box 3-stelsel komt aan zijn einde. </w:t>
      </w:r>
      <w:r w:rsidR="00A00A9E" w:rsidRPr="00A00A9E">
        <w:rPr>
          <w:sz w:val="28"/>
          <w:szCs w:val="28"/>
        </w:rPr>
        <w:t xml:space="preserve">De term </w:t>
      </w:r>
      <w:r w:rsidR="00A00A9E" w:rsidRPr="00A00A9E">
        <w:rPr>
          <w:i/>
          <w:iCs/>
          <w:sz w:val="28"/>
          <w:szCs w:val="28"/>
        </w:rPr>
        <w:t>box 3</w:t>
      </w:r>
      <w:r w:rsidR="00A00A9E" w:rsidRPr="00A00A9E">
        <w:rPr>
          <w:i/>
          <w:iCs/>
          <w:sz w:val="28"/>
          <w:szCs w:val="28"/>
        </w:rPr>
        <w:noBreakHyphen/>
        <w:t>affaire</w:t>
      </w:r>
      <w:r w:rsidR="00A00A9E" w:rsidRPr="00A00A9E">
        <w:rPr>
          <w:sz w:val="28"/>
          <w:szCs w:val="28"/>
        </w:rPr>
        <w:t xml:space="preserve"> lijkt geen overdrijving. Het nieuwe </w:t>
      </w:r>
      <w:r w:rsidR="00985BED">
        <w:rPr>
          <w:sz w:val="28"/>
          <w:szCs w:val="28"/>
        </w:rPr>
        <w:t>box 3-</w:t>
      </w:r>
      <w:r w:rsidR="00A00A9E" w:rsidRPr="00A00A9E">
        <w:rPr>
          <w:sz w:val="28"/>
          <w:szCs w:val="28"/>
        </w:rPr>
        <w:t xml:space="preserve">regime dreigt met een </w:t>
      </w:r>
      <w:r w:rsidR="00187E4D">
        <w:rPr>
          <w:sz w:val="28"/>
          <w:szCs w:val="28"/>
        </w:rPr>
        <w:t>bittere</w:t>
      </w:r>
      <w:r w:rsidR="00A00A9E" w:rsidRPr="00A00A9E">
        <w:rPr>
          <w:sz w:val="28"/>
          <w:szCs w:val="28"/>
        </w:rPr>
        <w:t xml:space="preserve"> nasmaak van start te gaan: onder forse budgettaire druk werkt de politiek toe naar wetgeving waar </w:t>
      </w:r>
      <w:r w:rsidR="00985BED">
        <w:rPr>
          <w:sz w:val="28"/>
          <w:szCs w:val="28"/>
        </w:rPr>
        <w:t xml:space="preserve">niemand in </w:t>
      </w:r>
      <w:r w:rsidR="00A00A9E" w:rsidRPr="00A00A9E">
        <w:rPr>
          <w:sz w:val="28"/>
          <w:szCs w:val="28"/>
        </w:rPr>
        <w:t xml:space="preserve">de Tweede Kamer </w:t>
      </w:r>
      <w:r w:rsidR="0043458D">
        <w:rPr>
          <w:sz w:val="28"/>
          <w:szCs w:val="28"/>
        </w:rPr>
        <w:t>warm van wordt.</w:t>
      </w:r>
    </w:p>
    <w:p w14:paraId="54226844" w14:textId="6B9614C2" w:rsidR="00A00A9E" w:rsidRPr="00A00A9E" w:rsidRDefault="00A00A9E" w:rsidP="00A00A9E">
      <w:pPr>
        <w:rPr>
          <w:sz w:val="28"/>
          <w:szCs w:val="28"/>
        </w:rPr>
      </w:pPr>
      <w:r w:rsidRPr="00A00A9E">
        <w:rPr>
          <w:sz w:val="28"/>
          <w:szCs w:val="28"/>
        </w:rPr>
        <w:t xml:space="preserve">Tegelijkertijd </w:t>
      </w:r>
      <w:r w:rsidR="0043458D">
        <w:rPr>
          <w:sz w:val="28"/>
          <w:szCs w:val="28"/>
        </w:rPr>
        <w:t>zijn er voor de burger</w:t>
      </w:r>
      <w:r w:rsidRPr="00A00A9E">
        <w:rPr>
          <w:sz w:val="28"/>
          <w:szCs w:val="28"/>
        </w:rPr>
        <w:t xml:space="preserve"> genoeg punten om zich over te verbijten; de systematiek oogt onlogisch en de uitvoerbaarheid staat onder druk. De vraag is of er in de komende periode nog ruimte bestaat om de scherpe randen weg te vijlen.</w:t>
      </w:r>
    </w:p>
    <w:p w14:paraId="4706C847" w14:textId="57E143A8" w:rsidR="00A00A9E" w:rsidRPr="00A00A9E" w:rsidRDefault="00A00A9E" w:rsidP="00A00A9E">
      <w:pPr>
        <w:rPr>
          <w:sz w:val="28"/>
          <w:szCs w:val="28"/>
        </w:rPr>
      </w:pPr>
      <w:r w:rsidRPr="00A00A9E">
        <w:rPr>
          <w:sz w:val="28"/>
          <w:szCs w:val="28"/>
        </w:rPr>
        <w:t xml:space="preserve">Een denkbare route is het vroegtijdig vastleggen van de contouren van een </w:t>
      </w:r>
      <w:r w:rsidR="0033686D">
        <w:rPr>
          <w:sz w:val="28"/>
          <w:szCs w:val="28"/>
        </w:rPr>
        <w:t>herstel</w:t>
      </w:r>
      <w:r w:rsidRPr="00A00A9E">
        <w:rPr>
          <w:sz w:val="28"/>
          <w:szCs w:val="28"/>
        </w:rPr>
        <w:t>wet, die de meest prangende bezwaren adresseert. Als die stap tijdig wordt gezet, zou het nieuwe box 3</w:t>
      </w:r>
      <w:r w:rsidRPr="00A00A9E">
        <w:rPr>
          <w:sz w:val="28"/>
          <w:szCs w:val="28"/>
        </w:rPr>
        <w:noBreakHyphen/>
        <w:t xml:space="preserve">stelsel </w:t>
      </w:r>
      <w:r w:rsidR="00AD52B9">
        <w:rPr>
          <w:sz w:val="28"/>
          <w:szCs w:val="28"/>
        </w:rPr>
        <w:t xml:space="preserve">meer </w:t>
      </w:r>
      <w:r w:rsidRPr="00A00A9E">
        <w:rPr>
          <w:sz w:val="28"/>
          <w:szCs w:val="28"/>
        </w:rPr>
        <w:t xml:space="preserve">geloofwaardig </w:t>
      </w:r>
      <w:r w:rsidR="00AD52B9">
        <w:rPr>
          <w:sz w:val="28"/>
          <w:szCs w:val="28"/>
        </w:rPr>
        <w:t>van start</w:t>
      </w:r>
      <w:r w:rsidRPr="00A00A9E">
        <w:rPr>
          <w:sz w:val="28"/>
          <w:szCs w:val="28"/>
        </w:rPr>
        <w:t xml:space="preserve"> kunnen </w:t>
      </w:r>
      <w:r w:rsidR="00AD52B9">
        <w:rPr>
          <w:sz w:val="28"/>
          <w:szCs w:val="28"/>
        </w:rPr>
        <w:t>gaan</w:t>
      </w:r>
      <w:r w:rsidRPr="00A00A9E">
        <w:rPr>
          <w:sz w:val="28"/>
          <w:szCs w:val="28"/>
        </w:rPr>
        <w:t>.</w:t>
      </w:r>
    </w:p>
    <w:p w14:paraId="77630579" w14:textId="20973113" w:rsidR="00A00A9E" w:rsidRDefault="00863C77" w:rsidP="00172019">
      <w:pPr>
        <w:rPr>
          <w:sz w:val="28"/>
          <w:szCs w:val="28"/>
        </w:rPr>
      </w:pPr>
      <w:r>
        <w:rPr>
          <w:sz w:val="28"/>
          <w:szCs w:val="28"/>
        </w:rPr>
        <w:t>Meer lezen</w:t>
      </w:r>
      <w:r w:rsidR="00011A6B">
        <w:rPr>
          <w:sz w:val="28"/>
          <w:szCs w:val="28"/>
        </w:rPr>
        <w:t xml:space="preserve"> over box 3</w:t>
      </w:r>
      <w:r>
        <w:rPr>
          <w:sz w:val="28"/>
          <w:szCs w:val="28"/>
        </w:rPr>
        <w:t>:</w:t>
      </w:r>
    </w:p>
    <w:p w14:paraId="69A37274" w14:textId="3E3478E5" w:rsidR="00863C77" w:rsidRDefault="00947021" w:rsidP="00172019">
      <w:pPr>
        <w:rPr>
          <w:sz w:val="28"/>
          <w:szCs w:val="28"/>
        </w:rPr>
      </w:pPr>
      <w:hyperlink r:id="rId10" w:history="1">
        <w:r w:rsidRPr="00947021">
          <w:rPr>
            <w:rStyle w:val="Hyperlink"/>
            <w:sz w:val="28"/>
            <w:szCs w:val="28"/>
          </w:rPr>
          <w:t>Ook vanaf 2028 nog steeds forfaitaire belastingheffing over de vakantiewoning</w:t>
        </w:r>
      </w:hyperlink>
    </w:p>
    <w:p w14:paraId="04D826C1" w14:textId="3F9DE9C3" w:rsidR="00947021" w:rsidRDefault="00011A6B" w:rsidP="00172019">
      <w:pPr>
        <w:rPr>
          <w:sz w:val="28"/>
          <w:szCs w:val="28"/>
        </w:rPr>
      </w:pPr>
      <w:hyperlink r:id="rId11" w:history="1">
        <w:r w:rsidRPr="00011A6B">
          <w:rPr>
            <w:rStyle w:val="Hyperlink"/>
            <w:sz w:val="28"/>
            <w:szCs w:val="28"/>
          </w:rPr>
          <w:t>Box 3: blijft uw vakantiehuis in 2028 in de familie?</w:t>
        </w:r>
      </w:hyperlink>
    </w:p>
    <w:p w14:paraId="3C47460B" w14:textId="77777777" w:rsidR="00D26203" w:rsidRPr="00672939" w:rsidRDefault="00D26203" w:rsidP="00D26203">
      <w:pPr>
        <w:rPr>
          <w:rFonts w:ascii="ABN AMRO Sans" w:hAnsi="ABN AMRO Sans"/>
        </w:rPr>
      </w:pPr>
      <w:r w:rsidRPr="00672939">
        <w:rPr>
          <w:rFonts w:ascii="ABN AMRO Sans" w:hAnsi="ABN AMRO Sans"/>
        </w:rPr>
        <w:t>Tot het geven van een toelichting op deze of andere punten zijn wij graag bereid.</w:t>
      </w:r>
    </w:p>
    <w:p w14:paraId="1556F807" w14:textId="77777777" w:rsidR="00D26203" w:rsidRPr="00672939" w:rsidRDefault="00D26203" w:rsidP="00D26203">
      <w:pPr>
        <w:rPr>
          <w:rFonts w:ascii="ABN AMRO Sans" w:hAnsi="ABN AMRO Sans"/>
        </w:rPr>
      </w:pPr>
      <w:r w:rsidRPr="00672939">
        <w:rPr>
          <w:rFonts w:ascii="ABN AMRO Sans" w:hAnsi="ABN AMRO Sans"/>
        </w:rPr>
        <w:t>Peter Beets (06-113 809 55 / peter.beets@nl.abnamro.com)</w:t>
      </w:r>
    </w:p>
    <w:p w14:paraId="4475EAD3" w14:textId="6E776F1A" w:rsidR="00D26203" w:rsidRPr="00672939" w:rsidRDefault="00D26203" w:rsidP="00D26203">
      <w:pPr>
        <w:rPr>
          <w:rFonts w:ascii="ABN AMRO Sans" w:hAnsi="ABN AMRO Sans"/>
        </w:rPr>
      </w:pPr>
      <w:r w:rsidRPr="00672939">
        <w:rPr>
          <w:rFonts w:ascii="ABN AMRO Sans" w:hAnsi="ABN AMRO Sans"/>
        </w:rPr>
        <w:t>Tjarko Denekamp (06-51478763 / tjarko.den</w:t>
      </w:r>
      <w:r w:rsidR="001D243E">
        <w:rPr>
          <w:rFonts w:ascii="ABN AMRO Sans" w:hAnsi="ABN AMRO Sans"/>
        </w:rPr>
        <w:t>e</w:t>
      </w:r>
      <w:r w:rsidRPr="00672939">
        <w:rPr>
          <w:rFonts w:ascii="ABN AMRO Sans" w:hAnsi="ABN AMRO Sans"/>
        </w:rPr>
        <w:t>kamp@nl.abnamro.com)</w:t>
      </w:r>
    </w:p>
    <w:p w14:paraId="7ABE8906" w14:textId="77777777" w:rsidR="00D26203" w:rsidRPr="00672939" w:rsidRDefault="00D26203" w:rsidP="00D26203">
      <w:pPr>
        <w:rPr>
          <w:rFonts w:ascii="ABN AMRO Sans" w:hAnsi="ABN AMRO Sans"/>
        </w:rPr>
      </w:pPr>
      <w:r w:rsidRPr="00672939">
        <w:rPr>
          <w:rFonts w:ascii="ABN AMRO Sans" w:hAnsi="ABN AMRO Sans"/>
        </w:rPr>
        <w:t>Experts Vermogensplanning ABN AMRO MeesPierson</w:t>
      </w:r>
    </w:p>
    <w:p w14:paraId="6D90FE66" w14:textId="4AAD3A2D" w:rsidR="00752B0F" w:rsidRPr="00DB2E76" w:rsidRDefault="00752B0F" w:rsidP="00C409CA">
      <w:pPr>
        <w:rPr>
          <w:sz w:val="28"/>
          <w:szCs w:val="28"/>
        </w:rPr>
      </w:pPr>
    </w:p>
    <w:sectPr w:rsidR="00752B0F" w:rsidRPr="00DB2E7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E7915" w14:textId="77777777" w:rsidR="001D243E" w:rsidRDefault="001D243E" w:rsidP="001D243E">
      <w:pPr>
        <w:spacing w:after="0" w:line="240" w:lineRule="auto"/>
      </w:pPr>
      <w:r>
        <w:separator/>
      </w:r>
    </w:p>
  </w:endnote>
  <w:endnote w:type="continuationSeparator" w:id="0">
    <w:p w14:paraId="671DCE04" w14:textId="77777777" w:rsidR="001D243E" w:rsidRDefault="001D243E" w:rsidP="001D2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BN AMRO Sans">
    <w:altName w:val="Calibri"/>
    <w:charset w:val="00"/>
    <w:family w:val="swiss"/>
    <w:pitch w:val="variable"/>
    <w:sig w:usb0="00000007" w:usb1="00000001"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EC8B8" w14:textId="77777777" w:rsidR="001D243E" w:rsidRDefault="001D243E" w:rsidP="001D243E">
      <w:pPr>
        <w:spacing w:after="0" w:line="240" w:lineRule="auto"/>
      </w:pPr>
      <w:r>
        <w:separator/>
      </w:r>
    </w:p>
  </w:footnote>
  <w:footnote w:type="continuationSeparator" w:id="0">
    <w:p w14:paraId="646525F8" w14:textId="77777777" w:rsidR="001D243E" w:rsidRDefault="001D243E" w:rsidP="001D24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85E0E"/>
    <w:multiLevelType w:val="multilevel"/>
    <w:tmpl w:val="062AC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47B63"/>
    <w:multiLevelType w:val="hybridMultilevel"/>
    <w:tmpl w:val="3404D03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6F83F5F"/>
    <w:multiLevelType w:val="multilevel"/>
    <w:tmpl w:val="AAFAE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1895059">
    <w:abstractNumId w:val="2"/>
  </w:num>
  <w:num w:numId="2" w16cid:durableId="969752328">
    <w:abstractNumId w:val="0"/>
  </w:num>
  <w:num w:numId="3" w16cid:durableId="606280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D6A"/>
    <w:rsid w:val="00010551"/>
    <w:rsid w:val="00011A6B"/>
    <w:rsid w:val="00017BB3"/>
    <w:rsid w:val="00071E37"/>
    <w:rsid w:val="000E3DAE"/>
    <w:rsid w:val="000F3EE4"/>
    <w:rsid w:val="000F7988"/>
    <w:rsid w:val="00121614"/>
    <w:rsid w:val="00132703"/>
    <w:rsid w:val="001562BA"/>
    <w:rsid w:val="001702AD"/>
    <w:rsid w:val="00172019"/>
    <w:rsid w:val="00187E4D"/>
    <w:rsid w:val="001A1878"/>
    <w:rsid w:val="001A3C19"/>
    <w:rsid w:val="001D18D0"/>
    <w:rsid w:val="001D243E"/>
    <w:rsid w:val="001E2EB3"/>
    <w:rsid w:val="00233190"/>
    <w:rsid w:val="0023463D"/>
    <w:rsid w:val="00240609"/>
    <w:rsid w:val="00266440"/>
    <w:rsid w:val="00272C79"/>
    <w:rsid w:val="002803C3"/>
    <w:rsid w:val="00286D90"/>
    <w:rsid w:val="002C70AD"/>
    <w:rsid w:val="002F0522"/>
    <w:rsid w:val="002F1A87"/>
    <w:rsid w:val="002F1EFB"/>
    <w:rsid w:val="002F692E"/>
    <w:rsid w:val="003029D9"/>
    <w:rsid w:val="00302D4C"/>
    <w:rsid w:val="00303252"/>
    <w:rsid w:val="00323DA9"/>
    <w:rsid w:val="0033540C"/>
    <w:rsid w:val="0033686D"/>
    <w:rsid w:val="003371B1"/>
    <w:rsid w:val="00337944"/>
    <w:rsid w:val="00343A97"/>
    <w:rsid w:val="00352257"/>
    <w:rsid w:val="003836C4"/>
    <w:rsid w:val="00386FFC"/>
    <w:rsid w:val="003A0F89"/>
    <w:rsid w:val="003A35BE"/>
    <w:rsid w:val="003A588F"/>
    <w:rsid w:val="003A6D6D"/>
    <w:rsid w:val="003B5A6A"/>
    <w:rsid w:val="003B6307"/>
    <w:rsid w:val="003C4A88"/>
    <w:rsid w:val="003D6322"/>
    <w:rsid w:val="003E6D9F"/>
    <w:rsid w:val="003F0917"/>
    <w:rsid w:val="00424D6A"/>
    <w:rsid w:val="00430939"/>
    <w:rsid w:val="0043458D"/>
    <w:rsid w:val="00471D6E"/>
    <w:rsid w:val="00494579"/>
    <w:rsid w:val="004A5FF2"/>
    <w:rsid w:val="004B610F"/>
    <w:rsid w:val="004D3761"/>
    <w:rsid w:val="004E5038"/>
    <w:rsid w:val="004E7850"/>
    <w:rsid w:val="004F2E12"/>
    <w:rsid w:val="004F374B"/>
    <w:rsid w:val="004F4491"/>
    <w:rsid w:val="00500789"/>
    <w:rsid w:val="005627FD"/>
    <w:rsid w:val="00566500"/>
    <w:rsid w:val="00575617"/>
    <w:rsid w:val="005A5762"/>
    <w:rsid w:val="005B45C5"/>
    <w:rsid w:val="005D0351"/>
    <w:rsid w:val="005D4433"/>
    <w:rsid w:val="005F51C5"/>
    <w:rsid w:val="00601B1D"/>
    <w:rsid w:val="00636311"/>
    <w:rsid w:val="00647294"/>
    <w:rsid w:val="006575D1"/>
    <w:rsid w:val="00677015"/>
    <w:rsid w:val="00684DEE"/>
    <w:rsid w:val="00690BA9"/>
    <w:rsid w:val="006956E0"/>
    <w:rsid w:val="006A1086"/>
    <w:rsid w:val="006A64E9"/>
    <w:rsid w:val="006B17FB"/>
    <w:rsid w:val="006C42DC"/>
    <w:rsid w:val="006D0E5A"/>
    <w:rsid w:val="007071D7"/>
    <w:rsid w:val="00735852"/>
    <w:rsid w:val="00752B0F"/>
    <w:rsid w:val="00753620"/>
    <w:rsid w:val="007674EB"/>
    <w:rsid w:val="0077086D"/>
    <w:rsid w:val="00781ADF"/>
    <w:rsid w:val="007A400D"/>
    <w:rsid w:val="007B7E5E"/>
    <w:rsid w:val="007D4EC0"/>
    <w:rsid w:val="007E3591"/>
    <w:rsid w:val="008025E9"/>
    <w:rsid w:val="008343B1"/>
    <w:rsid w:val="00851230"/>
    <w:rsid w:val="00861021"/>
    <w:rsid w:val="00863C77"/>
    <w:rsid w:val="0088077A"/>
    <w:rsid w:val="00882263"/>
    <w:rsid w:val="00896DD8"/>
    <w:rsid w:val="008A4C4E"/>
    <w:rsid w:val="008A608B"/>
    <w:rsid w:val="008C636F"/>
    <w:rsid w:val="008F55A6"/>
    <w:rsid w:val="00901345"/>
    <w:rsid w:val="00915E55"/>
    <w:rsid w:val="00942C79"/>
    <w:rsid w:val="00947021"/>
    <w:rsid w:val="0095217A"/>
    <w:rsid w:val="00956489"/>
    <w:rsid w:val="009576B5"/>
    <w:rsid w:val="009615C0"/>
    <w:rsid w:val="00962DC0"/>
    <w:rsid w:val="009650CB"/>
    <w:rsid w:val="009661AF"/>
    <w:rsid w:val="009813E0"/>
    <w:rsid w:val="00985BED"/>
    <w:rsid w:val="009A1D8D"/>
    <w:rsid w:val="009B66DB"/>
    <w:rsid w:val="009B715D"/>
    <w:rsid w:val="009C6392"/>
    <w:rsid w:val="009C65F9"/>
    <w:rsid w:val="009D3D80"/>
    <w:rsid w:val="009F4B0E"/>
    <w:rsid w:val="009F64ED"/>
    <w:rsid w:val="00A00A9E"/>
    <w:rsid w:val="00A17598"/>
    <w:rsid w:val="00A25D3A"/>
    <w:rsid w:val="00A33342"/>
    <w:rsid w:val="00A37B75"/>
    <w:rsid w:val="00A512CE"/>
    <w:rsid w:val="00A57DCC"/>
    <w:rsid w:val="00A60E58"/>
    <w:rsid w:val="00A8159D"/>
    <w:rsid w:val="00AC3331"/>
    <w:rsid w:val="00AD3E93"/>
    <w:rsid w:val="00AD52B9"/>
    <w:rsid w:val="00AE15CD"/>
    <w:rsid w:val="00AF2944"/>
    <w:rsid w:val="00B002AC"/>
    <w:rsid w:val="00B103F9"/>
    <w:rsid w:val="00B4567A"/>
    <w:rsid w:val="00B473F4"/>
    <w:rsid w:val="00B67173"/>
    <w:rsid w:val="00B8569A"/>
    <w:rsid w:val="00B86308"/>
    <w:rsid w:val="00B97F90"/>
    <w:rsid w:val="00BA0611"/>
    <w:rsid w:val="00BD719C"/>
    <w:rsid w:val="00C1281B"/>
    <w:rsid w:val="00C14973"/>
    <w:rsid w:val="00C15E7C"/>
    <w:rsid w:val="00C169CC"/>
    <w:rsid w:val="00C1765C"/>
    <w:rsid w:val="00C26ED3"/>
    <w:rsid w:val="00C409CA"/>
    <w:rsid w:val="00C65DA0"/>
    <w:rsid w:val="00C66879"/>
    <w:rsid w:val="00C75081"/>
    <w:rsid w:val="00C9320C"/>
    <w:rsid w:val="00CA47AC"/>
    <w:rsid w:val="00CB13DB"/>
    <w:rsid w:val="00CC1AD5"/>
    <w:rsid w:val="00CC7422"/>
    <w:rsid w:val="00CD6CAF"/>
    <w:rsid w:val="00CE05C4"/>
    <w:rsid w:val="00CE273F"/>
    <w:rsid w:val="00D26203"/>
    <w:rsid w:val="00D678AC"/>
    <w:rsid w:val="00D949D3"/>
    <w:rsid w:val="00DA11AF"/>
    <w:rsid w:val="00DB022D"/>
    <w:rsid w:val="00DB2E76"/>
    <w:rsid w:val="00DC6A93"/>
    <w:rsid w:val="00E0278B"/>
    <w:rsid w:val="00E22D25"/>
    <w:rsid w:val="00E25ADF"/>
    <w:rsid w:val="00E5001B"/>
    <w:rsid w:val="00E51AE5"/>
    <w:rsid w:val="00EB6F19"/>
    <w:rsid w:val="00ED2C21"/>
    <w:rsid w:val="00EF6137"/>
    <w:rsid w:val="00F02777"/>
    <w:rsid w:val="00F15A2E"/>
    <w:rsid w:val="00F47282"/>
    <w:rsid w:val="00F54FF6"/>
    <w:rsid w:val="00F84ED9"/>
    <w:rsid w:val="00F87E6E"/>
    <w:rsid w:val="00FD028C"/>
    <w:rsid w:val="00FD32D7"/>
    <w:rsid w:val="00FE48C0"/>
    <w:rsid w:val="00FF6DF1"/>
    <w:rsid w:val="00FF78C5"/>
    <w:rsid w:val="2E94805B"/>
    <w:rsid w:val="57AC440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9998CC"/>
  <w15:chartTrackingRefBased/>
  <w15:docId w15:val="{6A27513E-E0FC-4BD7-B5A0-226B1F8E1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24D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24D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24D6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24D6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24D6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24D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24D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24D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24D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4D6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24D6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24D6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24D6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24D6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24D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24D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24D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24D6A"/>
    <w:rPr>
      <w:rFonts w:eastAsiaTheme="majorEastAsia" w:cstheme="majorBidi"/>
      <w:color w:val="272727" w:themeColor="text1" w:themeTint="D8"/>
    </w:rPr>
  </w:style>
  <w:style w:type="paragraph" w:styleId="Titel">
    <w:name w:val="Title"/>
    <w:basedOn w:val="Standaard"/>
    <w:next w:val="Standaard"/>
    <w:link w:val="TitelChar"/>
    <w:uiPriority w:val="10"/>
    <w:qFormat/>
    <w:rsid w:val="00424D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24D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24D6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24D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24D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24D6A"/>
    <w:rPr>
      <w:i/>
      <w:iCs/>
      <w:color w:val="404040" w:themeColor="text1" w:themeTint="BF"/>
    </w:rPr>
  </w:style>
  <w:style w:type="paragraph" w:styleId="Lijstalinea">
    <w:name w:val="List Paragraph"/>
    <w:basedOn w:val="Standaard"/>
    <w:uiPriority w:val="34"/>
    <w:qFormat/>
    <w:rsid w:val="00424D6A"/>
    <w:pPr>
      <w:ind w:left="720"/>
      <w:contextualSpacing/>
    </w:pPr>
  </w:style>
  <w:style w:type="character" w:styleId="Intensievebenadrukking">
    <w:name w:val="Intense Emphasis"/>
    <w:basedOn w:val="Standaardalinea-lettertype"/>
    <w:uiPriority w:val="21"/>
    <w:qFormat/>
    <w:rsid w:val="00424D6A"/>
    <w:rPr>
      <w:i/>
      <w:iCs/>
      <w:color w:val="0F4761" w:themeColor="accent1" w:themeShade="BF"/>
    </w:rPr>
  </w:style>
  <w:style w:type="paragraph" w:styleId="Duidelijkcitaat">
    <w:name w:val="Intense Quote"/>
    <w:basedOn w:val="Standaard"/>
    <w:next w:val="Standaard"/>
    <w:link w:val="DuidelijkcitaatChar"/>
    <w:uiPriority w:val="30"/>
    <w:qFormat/>
    <w:rsid w:val="00424D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24D6A"/>
    <w:rPr>
      <w:i/>
      <w:iCs/>
      <w:color w:val="0F4761" w:themeColor="accent1" w:themeShade="BF"/>
    </w:rPr>
  </w:style>
  <w:style w:type="character" w:styleId="Intensieveverwijzing">
    <w:name w:val="Intense Reference"/>
    <w:basedOn w:val="Standaardalinea-lettertype"/>
    <w:uiPriority w:val="32"/>
    <w:qFormat/>
    <w:rsid w:val="00424D6A"/>
    <w:rPr>
      <w:b/>
      <w:bCs/>
      <w:smallCaps/>
      <w:color w:val="0F4761" w:themeColor="accent1" w:themeShade="BF"/>
      <w:spacing w:val="5"/>
    </w:rPr>
  </w:style>
  <w:style w:type="character" w:styleId="Hyperlink">
    <w:name w:val="Hyperlink"/>
    <w:basedOn w:val="Standaardalinea-lettertype"/>
    <w:uiPriority w:val="99"/>
    <w:unhideWhenUsed/>
    <w:rsid w:val="00424D6A"/>
    <w:rPr>
      <w:color w:val="467886" w:themeColor="hyperlink"/>
      <w:u w:val="single"/>
    </w:rPr>
  </w:style>
  <w:style w:type="character" w:styleId="Onopgelostemelding">
    <w:name w:val="Unresolved Mention"/>
    <w:basedOn w:val="Standaardalinea-lettertype"/>
    <w:uiPriority w:val="99"/>
    <w:semiHidden/>
    <w:unhideWhenUsed/>
    <w:rsid w:val="00424D6A"/>
    <w:rPr>
      <w:color w:val="605E5C"/>
      <w:shd w:val="clear" w:color="auto" w:fill="E1DFDD"/>
    </w:rPr>
  </w:style>
  <w:style w:type="character" w:styleId="GevolgdeHyperlink">
    <w:name w:val="FollowedHyperlink"/>
    <w:basedOn w:val="Standaardalinea-lettertype"/>
    <w:uiPriority w:val="99"/>
    <w:semiHidden/>
    <w:unhideWhenUsed/>
    <w:rsid w:val="00AC3331"/>
    <w:rPr>
      <w:color w:val="96607D" w:themeColor="followedHyperlink"/>
      <w:u w:val="single"/>
    </w:rPr>
  </w:style>
  <w:style w:type="character" w:styleId="Verwijzingopmerking">
    <w:name w:val="annotation reference"/>
    <w:basedOn w:val="Standaardalinea-lettertype"/>
    <w:uiPriority w:val="99"/>
    <w:semiHidden/>
    <w:unhideWhenUsed/>
    <w:rsid w:val="00DC6A93"/>
    <w:rPr>
      <w:sz w:val="16"/>
      <w:szCs w:val="16"/>
    </w:rPr>
  </w:style>
  <w:style w:type="paragraph" w:styleId="Tekstopmerking">
    <w:name w:val="annotation text"/>
    <w:basedOn w:val="Standaard"/>
    <w:link w:val="TekstopmerkingChar"/>
    <w:uiPriority w:val="99"/>
    <w:unhideWhenUsed/>
    <w:rsid w:val="00DC6A93"/>
    <w:pPr>
      <w:spacing w:line="240" w:lineRule="auto"/>
    </w:pPr>
    <w:rPr>
      <w:sz w:val="20"/>
      <w:szCs w:val="20"/>
    </w:rPr>
  </w:style>
  <w:style w:type="character" w:customStyle="1" w:styleId="TekstopmerkingChar">
    <w:name w:val="Tekst opmerking Char"/>
    <w:basedOn w:val="Standaardalinea-lettertype"/>
    <w:link w:val="Tekstopmerking"/>
    <w:uiPriority w:val="99"/>
    <w:rsid w:val="00DC6A93"/>
    <w:rPr>
      <w:sz w:val="20"/>
      <w:szCs w:val="20"/>
    </w:rPr>
  </w:style>
  <w:style w:type="paragraph" w:styleId="Onderwerpvanopmerking">
    <w:name w:val="annotation subject"/>
    <w:basedOn w:val="Tekstopmerking"/>
    <w:next w:val="Tekstopmerking"/>
    <w:link w:val="OnderwerpvanopmerkingChar"/>
    <w:uiPriority w:val="99"/>
    <w:semiHidden/>
    <w:unhideWhenUsed/>
    <w:rsid w:val="00DC6A93"/>
    <w:rPr>
      <w:b/>
      <w:bCs/>
    </w:rPr>
  </w:style>
  <w:style w:type="character" w:customStyle="1" w:styleId="OnderwerpvanopmerkingChar">
    <w:name w:val="Onderwerp van opmerking Char"/>
    <w:basedOn w:val="TekstopmerkingChar"/>
    <w:link w:val="Onderwerpvanopmerking"/>
    <w:uiPriority w:val="99"/>
    <w:semiHidden/>
    <w:rsid w:val="00DC6A93"/>
    <w:rPr>
      <w:b/>
      <w:bCs/>
      <w:sz w:val="20"/>
      <w:szCs w:val="20"/>
    </w:rPr>
  </w:style>
  <w:style w:type="paragraph" w:styleId="Revisie">
    <w:name w:val="Revision"/>
    <w:hidden/>
    <w:uiPriority w:val="99"/>
    <w:semiHidden/>
    <w:rsid w:val="007E3591"/>
    <w:pPr>
      <w:spacing w:after="0" w:line="240" w:lineRule="auto"/>
    </w:pPr>
  </w:style>
  <w:style w:type="paragraph" w:styleId="Koptekst">
    <w:name w:val="header"/>
    <w:basedOn w:val="Standaard"/>
    <w:link w:val="KoptekstChar"/>
    <w:uiPriority w:val="99"/>
    <w:unhideWhenUsed/>
    <w:rsid w:val="001D243E"/>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1D243E"/>
  </w:style>
  <w:style w:type="paragraph" w:styleId="Voettekst">
    <w:name w:val="footer"/>
    <w:basedOn w:val="Standaard"/>
    <w:link w:val="VoettekstChar"/>
    <w:uiPriority w:val="99"/>
    <w:unhideWhenUsed/>
    <w:rsid w:val="001D243E"/>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1D2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inancialfocus.abnamro.nl/wonen/blijft-uw-vakantiehuis-in-2038-in-de-familie/?pos=topic_article_by_writer_Tjarko_Denekamp" TargetMode="External"/><Relationship Id="rId5" Type="http://schemas.openxmlformats.org/officeDocument/2006/relationships/styles" Target="styles.xml"/><Relationship Id="rId10" Type="http://schemas.openxmlformats.org/officeDocument/2006/relationships/hyperlink" Target="https://financialfocus.abnamro.nl/expertise/ook-na-2028-nog-steeds-forfaitaire-belastingheffing-over-de-vakantiewoning/?pos=topic_article_by_writer_Tjarko_Denekam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216405D26CA640B0614B96C76DFBC7" ma:contentTypeVersion="3" ma:contentTypeDescription="Een nieuw document maken." ma:contentTypeScope="" ma:versionID="ce2c4b81c441b860b8e2ad3f51365886">
  <xsd:schema xmlns:xsd="http://www.w3.org/2001/XMLSchema" xmlns:xs="http://www.w3.org/2001/XMLSchema" xmlns:p="http://schemas.microsoft.com/office/2006/metadata/properties" xmlns:ns2="055ce088-662b-43da-98bd-f1bc09a323e3" targetNamespace="http://schemas.microsoft.com/office/2006/metadata/properties" ma:root="true" ma:fieldsID="295b115f5a1af38aa9d5618cae7882ba" ns2:_="">
    <xsd:import namespace="055ce088-662b-43da-98bd-f1bc09a323e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ce088-662b-43da-98bd-f1bc09a323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69BC1-6B90-4833-81CC-160182D68B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ce088-662b-43da-98bd-f1bc09a323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04F046-4B2A-46D4-967E-101E219AF0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441462-71FC-4B53-AFC3-1A5A173DF8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1136</Words>
  <Characters>6254</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ABN AMRO Bank</Company>
  <LinksUpToDate>false</LinksUpToDate>
  <CharactersWithSpaces>7376</CharactersWithSpaces>
  <SharedDoc>false</SharedDoc>
  <HLinks>
    <vt:vector size="12" baseType="variant">
      <vt:variant>
        <vt:i4>7077895</vt:i4>
      </vt:variant>
      <vt:variant>
        <vt:i4>3</vt:i4>
      </vt:variant>
      <vt:variant>
        <vt:i4>0</vt:i4>
      </vt:variant>
      <vt:variant>
        <vt:i4>5</vt:i4>
      </vt:variant>
      <vt:variant>
        <vt:lpwstr>https://financialfocus.abnamro.nl/wonen/blijft-uw-vakantiehuis-in-2038-in-de-familie/?pos=topic_article_by_writer_Tjarko_Denekamp</vt:lpwstr>
      </vt:variant>
      <vt:variant>
        <vt:lpwstr/>
      </vt:variant>
      <vt:variant>
        <vt:i4>196712</vt:i4>
      </vt:variant>
      <vt:variant>
        <vt:i4>0</vt:i4>
      </vt:variant>
      <vt:variant>
        <vt:i4>0</vt:i4>
      </vt:variant>
      <vt:variant>
        <vt:i4>5</vt:i4>
      </vt:variant>
      <vt:variant>
        <vt:lpwstr>https://financialfocus.abnamro.nl/expertise/ook-na-2028-nog-steeds-forfaitaire-belastingheffing-over-de-vakantiewoning/?pos=topic_article_by_writer_Tjarko_Denekamp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Beets</dc:creator>
  <cp:keywords/>
  <dc:description/>
  <cp:lastModifiedBy>Bussel, Ineke van</cp:lastModifiedBy>
  <cp:revision>2</cp:revision>
  <dcterms:created xsi:type="dcterms:W3CDTF">2026-02-05T09:09:00Z</dcterms:created>
  <dcterms:modified xsi:type="dcterms:W3CDTF">2026-02-05T09:09:00Z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bce33f7-04c0-4596-9b71-ba8617e88451_Enabled">
    <vt:lpwstr>true</vt:lpwstr>
  </property>
  <property fmtid="{D5CDD505-2E9C-101B-9397-08002B2CF9AE}" pid="3" name="MSIP_Label_0bce33f7-04c0-4596-9b71-ba8617e88451_SetDate">
    <vt:lpwstr>2026-01-29T13:26:59Z</vt:lpwstr>
  </property>
  <property fmtid="{D5CDD505-2E9C-101B-9397-08002B2CF9AE}" pid="4" name="MSIP_Label_0bce33f7-04c0-4596-9b71-ba8617e88451_Method">
    <vt:lpwstr>Privileged</vt:lpwstr>
  </property>
  <property fmtid="{D5CDD505-2E9C-101B-9397-08002B2CF9AE}" pid="5" name="MSIP_Label_0bce33f7-04c0-4596-9b71-ba8617e88451_Name">
    <vt:lpwstr>0bce33f7-04c0-4596-9b71-ba8617e88451</vt:lpwstr>
  </property>
  <property fmtid="{D5CDD505-2E9C-101B-9397-08002B2CF9AE}" pid="6" name="MSIP_Label_0bce33f7-04c0-4596-9b71-ba8617e88451_SiteId">
    <vt:lpwstr>3a15904d-3fd9-4256-a753-beb05cdf0c6d</vt:lpwstr>
  </property>
  <property fmtid="{D5CDD505-2E9C-101B-9397-08002B2CF9AE}" pid="7" name="MSIP_Label_0bce33f7-04c0-4596-9b71-ba8617e88451_ActionId">
    <vt:lpwstr>e0fe21fd-9bd1-46e6-8744-813d8710186b</vt:lpwstr>
  </property>
  <property fmtid="{D5CDD505-2E9C-101B-9397-08002B2CF9AE}" pid="8" name="MSIP_Label_0bce33f7-04c0-4596-9b71-ba8617e88451_ContentBits">
    <vt:lpwstr>0</vt:lpwstr>
  </property>
  <property fmtid="{D5CDD505-2E9C-101B-9397-08002B2CF9AE}" pid="9" name="MSIP_Label_0bce33f7-04c0-4596-9b71-ba8617e88451_Tag">
    <vt:lpwstr>10, 0, 1, 1</vt:lpwstr>
  </property>
  <property fmtid="{D5CDD505-2E9C-101B-9397-08002B2CF9AE}" pid="10" name="ContentTypeId">
    <vt:lpwstr>0x01010018216405D26CA640B0614B96C76DFBC7</vt:lpwstr>
  </property>
  <property fmtid="{D5CDD505-2E9C-101B-9397-08002B2CF9AE}" pid="11" name="docLang">
    <vt:lpwstr>nl</vt:lpwstr>
  </property>
  <property fmtid="{D5CDD505-2E9C-101B-9397-08002B2CF9AE}" pid="12" name="MSIP_Label_fe6ee112-9e5c-4f16-b63d-fcad06e1707e_Enabled">
    <vt:lpwstr>true</vt:lpwstr>
  </property>
  <property fmtid="{D5CDD505-2E9C-101B-9397-08002B2CF9AE}" pid="13" name="MSIP_Label_fe6ee112-9e5c-4f16-b63d-fcad06e1707e_SetDate">
    <vt:lpwstr>2026-02-05T09:09:14Z</vt:lpwstr>
  </property>
  <property fmtid="{D5CDD505-2E9C-101B-9397-08002B2CF9AE}" pid="14" name="MSIP_Label_fe6ee112-9e5c-4f16-b63d-fcad06e1707e_Method">
    <vt:lpwstr>Standard</vt:lpwstr>
  </property>
  <property fmtid="{D5CDD505-2E9C-101B-9397-08002B2CF9AE}" pid="15" name="MSIP_Label_fe6ee112-9e5c-4f16-b63d-fcad06e1707e_Name">
    <vt:lpwstr>Internal Use</vt:lpwstr>
  </property>
  <property fmtid="{D5CDD505-2E9C-101B-9397-08002B2CF9AE}" pid="16" name="MSIP_Label_fe6ee112-9e5c-4f16-b63d-fcad06e1707e_SiteId">
    <vt:lpwstr>8ac76c91-e7f1-41ff-a89c-3553b2da2c17</vt:lpwstr>
  </property>
  <property fmtid="{D5CDD505-2E9C-101B-9397-08002B2CF9AE}" pid="17" name="MSIP_Label_fe6ee112-9e5c-4f16-b63d-fcad06e1707e_ActionId">
    <vt:lpwstr>8eedaa1a-3396-4927-a4f4-9b0285074319</vt:lpwstr>
  </property>
  <property fmtid="{D5CDD505-2E9C-101B-9397-08002B2CF9AE}" pid="18" name="MSIP_Label_fe6ee112-9e5c-4f16-b63d-fcad06e1707e_ContentBits">
    <vt:lpwstr>0</vt:lpwstr>
  </property>
  <property fmtid="{D5CDD505-2E9C-101B-9397-08002B2CF9AE}" pid="19" name="MSIP_Label_fe6ee112-9e5c-4f16-b63d-fcad06e1707e_Tag">
    <vt:lpwstr>10, 3, 0, 1</vt:lpwstr>
  </property>
</Properties>
</file>