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67D5" w14:textId="208315A5" w:rsidR="00360224" w:rsidRDefault="007C160F" w:rsidP="00360224">
      <w:pPr>
        <w:rPr>
          <w:b/>
          <w:bCs/>
        </w:rPr>
      </w:pPr>
      <w:r w:rsidRPr="007C160F">
        <w:rPr>
          <w:b/>
          <w:bCs/>
        </w:rPr>
        <w:t xml:space="preserve">Brussel zet </w:t>
      </w:r>
      <w:r w:rsidR="00203F97">
        <w:rPr>
          <w:b/>
          <w:bCs/>
        </w:rPr>
        <w:t xml:space="preserve">nog meer </w:t>
      </w:r>
      <w:r w:rsidRPr="007C160F">
        <w:rPr>
          <w:b/>
          <w:bCs/>
        </w:rPr>
        <w:t>druk op box 3</w:t>
      </w:r>
      <w:r w:rsidR="005B0246">
        <w:rPr>
          <w:b/>
          <w:bCs/>
        </w:rPr>
        <w:t>:</w:t>
      </w:r>
      <w:r w:rsidR="00203F97">
        <w:rPr>
          <w:b/>
          <w:bCs/>
        </w:rPr>
        <w:t xml:space="preserve"> </w:t>
      </w:r>
      <w:r w:rsidR="00360224">
        <w:rPr>
          <w:b/>
          <w:bCs/>
        </w:rPr>
        <w:t>m</w:t>
      </w:r>
      <w:r w:rsidR="00360224" w:rsidRPr="006953E1">
        <w:rPr>
          <w:b/>
          <w:bCs/>
        </w:rPr>
        <w:t>oet de belegger nu echt uit box 3 stappen?</w:t>
      </w:r>
    </w:p>
    <w:p w14:paraId="3CA78220" w14:textId="3CD6B9EE" w:rsidR="00934A9C" w:rsidRPr="005E2946" w:rsidRDefault="00934A9C" w:rsidP="00360224">
      <w:r w:rsidRPr="005E2946">
        <w:t>Peter Beets</w:t>
      </w:r>
      <w:r w:rsidR="00E30607">
        <w:t xml:space="preserve"> en </w:t>
      </w:r>
      <w:proofErr w:type="spellStart"/>
      <w:r w:rsidR="00E30607">
        <w:t>Tjarko</w:t>
      </w:r>
      <w:proofErr w:type="spellEnd"/>
      <w:r w:rsidR="00E30607">
        <w:t xml:space="preserve"> Denekamp</w:t>
      </w:r>
      <w:r w:rsidRPr="005E2946">
        <w:t>, Expert vermogensplanner</w:t>
      </w:r>
      <w:r w:rsidR="00E30607">
        <w:t>s</w:t>
      </w:r>
      <w:r w:rsidRPr="005E2946">
        <w:t xml:space="preserve"> ABN AMRO MeesPierson</w:t>
      </w:r>
    </w:p>
    <w:p w14:paraId="5711AF13" w14:textId="77777777" w:rsidR="00934A9C" w:rsidRPr="005E2946" w:rsidRDefault="00934A9C" w:rsidP="00360224">
      <w:pPr>
        <w:rPr>
          <w:b/>
          <w:bCs/>
        </w:rPr>
      </w:pPr>
    </w:p>
    <w:p w14:paraId="008F7225" w14:textId="5E14B70B" w:rsidR="00DF11B5" w:rsidRPr="00DF11B5" w:rsidRDefault="005B0246" w:rsidP="00DF11B5">
      <w:r>
        <w:t>B</w:t>
      </w:r>
      <w:r w:rsidR="00203F97">
        <w:t xml:space="preserve">ox 3 is al jarenlang een hoofdpijndossier en </w:t>
      </w:r>
      <w:r>
        <w:t>d</w:t>
      </w:r>
      <w:r w:rsidR="00203F97">
        <w:t xml:space="preserve">e Europese Commissie dreigt een nieuw hoofdstuk daaraan toe te voegen. </w:t>
      </w:r>
      <w:r>
        <w:t xml:space="preserve">Om </w:t>
      </w:r>
      <w:r w:rsidR="00E67368">
        <w:t xml:space="preserve">beleggingen, </w:t>
      </w:r>
      <w:r w:rsidRPr="007C160F">
        <w:t xml:space="preserve">investeringen en innovatie in Europa </w:t>
      </w:r>
      <w:r w:rsidR="00FB7904">
        <w:t xml:space="preserve">te </w:t>
      </w:r>
      <w:r w:rsidRPr="007C160F">
        <w:t>stimuleren</w:t>
      </w:r>
      <w:r>
        <w:t>, zou de</w:t>
      </w:r>
      <w:r w:rsidRPr="007C160F">
        <w:t xml:space="preserve"> </w:t>
      </w:r>
      <w:r w:rsidR="005E2946">
        <w:t xml:space="preserve">belasting op </w:t>
      </w:r>
      <w:r w:rsidRPr="007C160F">
        <w:t>dividend</w:t>
      </w:r>
      <w:r w:rsidR="005E2946">
        <w:t>en</w:t>
      </w:r>
      <w:r w:rsidRPr="007C160F">
        <w:t xml:space="preserve"> tussen bedrijven </w:t>
      </w:r>
      <w:r w:rsidR="005E2946">
        <w:t>moeten worden</w:t>
      </w:r>
      <w:r>
        <w:t xml:space="preserve"> </w:t>
      </w:r>
      <w:r w:rsidR="005E2946">
        <w:t>af</w:t>
      </w:r>
      <w:r>
        <w:t xml:space="preserve">geschaft. </w:t>
      </w:r>
      <w:r w:rsidR="00672873">
        <w:t>H</w:t>
      </w:r>
      <w:r w:rsidR="00672873" w:rsidRPr="00672873">
        <w:t xml:space="preserve">ierdoor </w:t>
      </w:r>
      <w:r w:rsidR="00B8659A">
        <w:t>lijkt</w:t>
      </w:r>
      <w:r w:rsidR="00672873">
        <w:t xml:space="preserve"> beleggen in een BV </w:t>
      </w:r>
      <w:r w:rsidR="00672873" w:rsidRPr="00672873">
        <w:t xml:space="preserve">veel aantrekkelijker </w:t>
      </w:r>
      <w:r w:rsidR="00B8659A">
        <w:t xml:space="preserve">te worden </w:t>
      </w:r>
      <w:r w:rsidR="00672873" w:rsidRPr="00672873">
        <w:t>dan beleggen in box 3. </w:t>
      </w:r>
      <w:r>
        <w:t>V</w:t>
      </w:r>
      <w:r w:rsidR="00904436">
        <w:t>oor</w:t>
      </w:r>
      <w:r w:rsidR="00DF11B5" w:rsidRPr="00DF11B5">
        <w:t xml:space="preserve"> veel beleggers voelt dit als een kantelpunt. Maar is dat ook</w:t>
      </w:r>
      <w:r w:rsidR="00B8659A">
        <w:t xml:space="preserve"> zo</w:t>
      </w:r>
      <w:r w:rsidR="00DF11B5" w:rsidRPr="00DF11B5">
        <w:t>?</w:t>
      </w:r>
    </w:p>
    <w:p w14:paraId="23D667D8" w14:textId="77777777" w:rsidR="00E67368" w:rsidRDefault="007C160F" w:rsidP="007C160F">
      <w:pPr>
        <w:rPr>
          <w:b/>
          <w:bCs/>
        </w:rPr>
      </w:pPr>
      <w:r w:rsidRPr="007C160F">
        <w:rPr>
          <w:b/>
          <w:bCs/>
        </w:rPr>
        <w:t>Effect op box 3</w:t>
      </w:r>
    </w:p>
    <w:p w14:paraId="206415EE" w14:textId="6C85739E" w:rsidR="00DF11B5" w:rsidRPr="006953E1" w:rsidRDefault="007C160F" w:rsidP="00DF11B5">
      <w:pPr>
        <w:rPr>
          <w:b/>
          <w:bCs/>
        </w:rPr>
      </w:pPr>
      <w:r w:rsidRPr="007C160F">
        <w:br/>
      </w:r>
      <w:r w:rsidR="00017B92">
        <w:t xml:space="preserve">Als dividend </w:t>
      </w:r>
      <w:r w:rsidR="00256FB3">
        <w:t xml:space="preserve">in een BV </w:t>
      </w:r>
      <w:r w:rsidR="00017B92">
        <w:t xml:space="preserve">onbelast kan worden ontvangen en koerswinsten pas </w:t>
      </w:r>
      <w:r w:rsidR="00256FB3">
        <w:t xml:space="preserve">worden belast </w:t>
      </w:r>
      <w:r w:rsidR="00017B92">
        <w:t>bij</w:t>
      </w:r>
      <w:r w:rsidR="00256FB3">
        <w:t xml:space="preserve"> realisatie,</w:t>
      </w:r>
      <w:r w:rsidR="00017B92">
        <w:t xml:space="preserve"> wordt het contrast met het voorgestelde nieuwe box 3-stelsel wel schrijnend. Als hoofdregel wordt </w:t>
      </w:r>
      <w:r w:rsidR="00256FB3">
        <w:t xml:space="preserve">in box 3 </w:t>
      </w:r>
      <w:r w:rsidR="00017B92">
        <w:t xml:space="preserve">vanaf 2028 </w:t>
      </w:r>
      <w:r w:rsidRPr="007C160F">
        <w:t>vermogensaanwas</w:t>
      </w:r>
      <w:r w:rsidR="00017B92">
        <w:t xml:space="preserve"> belas</w:t>
      </w:r>
      <w:r w:rsidR="00256FB3">
        <w:t>t</w:t>
      </w:r>
      <w:r w:rsidR="00DF11B5">
        <w:t>;</w:t>
      </w:r>
      <w:r w:rsidR="00256FB3">
        <w:t xml:space="preserve"> </w:t>
      </w:r>
      <w:r w:rsidR="00DF11B5" w:rsidRPr="00DF11B5">
        <w:t>belasting op rendement, óók als het nog niet is gerealiseerd.</w:t>
      </w:r>
    </w:p>
    <w:p w14:paraId="4DC2C935" w14:textId="54D75143" w:rsidR="007C160F" w:rsidRDefault="00256FB3" w:rsidP="007C160F">
      <w:r>
        <w:t>In box 2 wordt</w:t>
      </w:r>
      <w:r w:rsidR="007C160F" w:rsidRPr="007C160F">
        <w:t xml:space="preserve"> </w:t>
      </w:r>
      <w:r w:rsidR="00904436">
        <w:t xml:space="preserve">pas belasting geheven </w:t>
      </w:r>
      <w:r w:rsidR="007C160F" w:rsidRPr="007C160F">
        <w:t xml:space="preserve">bij realisatie. In combinatie met een lager tarief (31% vs. 36% in box 3) vergroot dit de aantrekkelijkheid van beleggen via een </w:t>
      </w:r>
      <w:r>
        <w:t>BV</w:t>
      </w:r>
      <w:r w:rsidR="007C160F" w:rsidRPr="007C160F">
        <w:t>.</w:t>
      </w:r>
    </w:p>
    <w:p w14:paraId="640F8CEB" w14:textId="3E6E13D7" w:rsidR="00357733" w:rsidRPr="002E2547" w:rsidRDefault="007C160F" w:rsidP="00357733">
      <w:r w:rsidRPr="007C160F">
        <w:rPr>
          <w:b/>
          <w:bCs/>
        </w:rPr>
        <w:t>Onzekerheid over invoering</w:t>
      </w:r>
      <w:r w:rsidR="008E2B97">
        <w:rPr>
          <w:b/>
          <w:bCs/>
        </w:rPr>
        <w:t xml:space="preserve"> </w:t>
      </w:r>
      <w:r w:rsidRPr="007C160F">
        <w:br/>
      </w:r>
      <w:r w:rsidR="008E2B97">
        <w:br/>
      </w:r>
      <w:r w:rsidR="001713A0" w:rsidRPr="001713A0">
        <w:t>Het Europese voorstel is nog allerminst zeker. Unanimiteit binnen de EU is vereist, en belastinginkomsten blijven voor lidstaten een gevoelig onderwerp.</w:t>
      </w:r>
      <w:r w:rsidR="001713A0">
        <w:t xml:space="preserve"> </w:t>
      </w:r>
      <w:r w:rsidR="00256FB3">
        <w:t>D</w:t>
      </w:r>
      <w:r w:rsidR="007933DC">
        <w:t xml:space="preserve">e </w:t>
      </w:r>
      <w:r w:rsidR="00256FB3">
        <w:t>reactie van de Nederlandse wetgever</w:t>
      </w:r>
      <w:r w:rsidR="007933DC">
        <w:t xml:space="preserve"> is ook onzeker</w:t>
      </w:r>
      <w:r w:rsidR="00256FB3">
        <w:t>. Een verhoging van het box 2-tarief is niet ondenkbaar. Wie weet, trekt het kabinet wel de stoute schoenen aan en wordt er in box 2 belasting geheven over een forfaitair rendement. Links of rechts zal toch dekking moeten worden gevonden voor lagere of latere belastinginkomsten.</w:t>
      </w:r>
      <w:r w:rsidR="00357733">
        <w:t xml:space="preserve"> </w:t>
      </w:r>
      <w:r w:rsidR="00E02A68">
        <w:t>Met al die onzekerheden komt de vraag op, i</w:t>
      </w:r>
      <w:r w:rsidR="00357733" w:rsidRPr="002E2547">
        <w:t xml:space="preserve">s een BV </w:t>
      </w:r>
      <w:r w:rsidR="00357733">
        <w:t xml:space="preserve">echt </w:t>
      </w:r>
      <w:r w:rsidR="00357733" w:rsidRPr="002E2547">
        <w:t xml:space="preserve">beter, of </w:t>
      </w:r>
      <w:r w:rsidR="00357733">
        <w:t xml:space="preserve">toch </w:t>
      </w:r>
      <w:r w:rsidR="00357733" w:rsidRPr="002E2547">
        <w:t>vooral anders?</w:t>
      </w:r>
    </w:p>
    <w:p w14:paraId="3EC48CBD" w14:textId="7DE283C5" w:rsidR="008E2B97" w:rsidRDefault="004C7E65" w:rsidP="004C7E65">
      <w:pPr>
        <w:rPr>
          <w:b/>
          <w:bCs/>
        </w:rPr>
      </w:pPr>
      <w:r>
        <w:rPr>
          <w:b/>
          <w:bCs/>
        </w:rPr>
        <w:t>W</w:t>
      </w:r>
      <w:r w:rsidRPr="002E2547">
        <w:rPr>
          <w:b/>
          <w:bCs/>
        </w:rPr>
        <w:t xml:space="preserve">at blijft er </w:t>
      </w:r>
      <w:r>
        <w:rPr>
          <w:b/>
          <w:bCs/>
        </w:rPr>
        <w:t xml:space="preserve">nu </w:t>
      </w:r>
      <w:r w:rsidRPr="002E2547">
        <w:rPr>
          <w:b/>
          <w:bCs/>
        </w:rPr>
        <w:t>netto écht over</w:t>
      </w:r>
      <w:r>
        <w:rPr>
          <w:b/>
          <w:bCs/>
        </w:rPr>
        <w:t xml:space="preserve"> in de BV</w:t>
      </w:r>
      <w:r w:rsidRPr="002E2547">
        <w:rPr>
          <w:b/>
          <w:bCs/>
        </w:rPr>
        <w:t>?</w:t>
      </w:r>
    </w:p>
    <w:p w14:paraId="2D3626FF" w14:textId="524A6007" w:rsidR="004C7E65" w:rsidRPr="002E2547" w:rsidRDefault="004C7E65" w:rsidP="004C7E65">
      <w:r w:rsidRPr="002E2547">
        <w:t>Wie belegt via een BV krijgt te maken met de vennootschapsbelasting</w:t>
      </w:r>
      <w:r w:rsidR="007C51F9">
        <w:t xml:space="preserve"> (</w:t>
      </w:r>
      <w:proofErr w:type="spellStart"/>
      <w:r w:rsidR="007C51F9">
        <w:t>vpb</w:t>
      </w:r>
      <w:proofErr w:type="spellEnd"/>
      <w:r w:rsidR="007C51F9">
        <w:t>)</w:t>
      </w:r>
      <w:r w:rsidRPr="002E2547">
        <w:t>. Over winsten tot € 200.000 bedraagt het tarief 19%, daarboven 25,8%. Wie vervolgens privé over dat vermogen wil beschikken, betaalt in box 2 nog eens belasting: 24,5% tot € 68.84</w:t>
      </w:r>
      <w:r>
        <w:t>3</w:t>
      </w:r>
      <w:r w:rsidRPr="002E2547">
        <w:t xml:space="preserve"> (of het dubbele bij fiscale partners) en 31% over het meerdere.</w:t>
      </w:r>
    </w:p>
    <w:p w14:paraId="1182C288" w14:textId="77777777" w:rsidR="004C7E65" w:rsidRDefault="004C7E65" w:rsidP="004C7E65">
      <w:r w:rsidRPr="002E2547">
        <w:t xml:space="preserve">Alles bij elkaar kan de totale belastingdruk daarmee oplopen </w:t>
      </w:r>
      <w:r>
        <w:t xml:space="preserve">van </w:t>
      </w:r>
      <w:r w:rsidRPr="002E2547">
        <w:t>circa 38,</w:t>
      </w:r>
      <w:r>
        <w:t>8</w:t>
      </w:r>
      <w:r w:rsidRPr="002E2547">
        <w:t xml:space="preserve">% </w:t>
      </w:r>
      <w:r>
        <w:t>tot</w:t>
      </w:r>
      <w:r w:rsidRPr="002E2547">
        <w:t xml:space="preserve"> 48,</w:t>
      </w:r>
      <w:r>
        <w:t>8</w:t>
      </w:r>
      <w:r w:rsidRPr="002E2547">
        <w:t>%.</w:t>
      </w:r>
      <w:r>
        <w:t xml:space="preserve"> Het tarief in box 3 is lager: 36%. Dat blijft ook zo in 2028.</w:t>
      </w:r>
    </w:p>
    <w:p w14:paraId="606D903B" w14:textId="77777777" w:rsidR="004C7E65" w:rsidRPr="002E2547" w:rsidRDefault="004C7E65" w:rsidP="004C7E65">
      <w:pPr>
        <w:rPr>
          <w:b/>
          <w:bCs/>
        </w:rPr>
      </w:pPr>
      <w:r w:rsidRPr="002E2547">
        <w:rPr>
          <w:b/>
          <w:bCs/>
        </w:rPr>
        <w:t>Uitstel is geen afstel</w:t>
      </w:r>
    </w:p>
    <w:p w14:paraId="66430372" w14:textId="0F9680B4" w:rsidR="004C7E65" w:rsidRPr="002E2547" w:rsidRDefault="004C7E65" w:rsidP="004C7E65">
      <w:r>
        <w:lastRenderedPageBreak/>
        <w:t>H</w:t>
      </w:r>
      <w:r w:rsidRPr="00C938E1">
        <w:t>et belangrijkste voordeel van belegg</w:t>
      </w:r>
      <w:r>
        <w:t xml:space="preserve">en in </w:t>
      </w:r>
      <w:r w:rsidRPr="00C938E1">
        <w:t xml:space="preserve">een BV </w:t>
      </w:r>
      <w:r>
        <w:t xml:space="preserve">is </w:t>
      </w:r>
      <w:r w:rsidRPr="00C938E1">
        <w:t xml:space="preserve">uitstel van belastingheffing. In de </w:t>
      </w:r>
      <w:r w:rsidRPr="002E2547">
        <w:t xml:space="preserve">BV door winst niet </w:t>
      </w:r>
      <w:r>
        <w:t>te realiseren</w:t>
      </w:r>
      <w:r w:rsidRPr="002E2547">
        <w:t>, in box 2 door dividend uit te stellen. Dat uitstel heeft een keerzijde: latere winst en latere uitkeringen vallen mogelijk in hogere tariefschijven.</w:t>
      </w:r>
    </w:p>
    <w:p w14:paraId="33E8085A" w14:textId="34E0E6A5" w:rsidR="004C7E65" w:rsidRDefault="00AF4736" w:rsidP="004C7E65">
      <w:pPr>
        <w:rPr>
          <w:color w:val="000000" w:themeColor="text1"/>
        </w:rPr>
      </w:pPr>
      <w:r>
        <w:rPr>
          <w:color w:val="000000" w:themeColor="text1"/>
        </w:rPr>
        <w:t>Zo laten r</w:t>
      </w:r>
      <w:r w:rsidR="004C7E65" w:rsidRPr="00C938E1">
        <w:rPr>
          <w:color w:val="000000" w:themeColor="text1"/>
        </w:rPr>
        <w:t>ekenvoorbeelden zien dat bij een vermogen van € 1.000.000 en een rendement van</w:t>
      </w:r>
      <w:r w:rsidR="004C7E65">
        <w:rPr>
          <w:color w:val="000000" w:themeColor="text1"/>
        </w:rPr>
        <w:t xml:space="preserve"> stel</w:t>
      </w:r>
      <w:r w:rsidR="004C7E65" w:rsidRPr="00C938E1">
        <w:rPr>
          <w:color w:val="000000" w:themeColor="text1"/>
        </w:rPr>
        <w:t xml:space="preserve"> 10%</w:t>
      </w:r>
      <w:r>
        <w:rPr>
          <w:color w:val="000000" w:themeColor="text1"/>
        </w:rPr>
        <w:t>,</w:t>
      </w:r>
      <w:r w:rsidR="004C7E65" w:rsidRPr="00C938E1">
        <w:rPr>
          <w:color w:val="000000" w:themeColor="text1"/>
        </w:rPr>
        <w:t xml:space="preserve"> het omslagpunt pas na ongeveer twaalf jaar wordt bereikt voordat de BV fiscaal aantrekkelijker wordt dan box 3.</w:t>
      </w:r>
    </w:p>
    <w:p w14:paraId="6FEEF24A" w14:textId="459C4D19" w:rsidR="004C7E65" w:rsidRPr="002E2547" w:rsidRDefault="004C7E65" w:rsidP="004C7E65">
      <w:r w:rsidRPr="002E2547">
        <w:t xml:space="preserve">Twaalf jaar is een lange periode in fiscale termen. Zowel het </w:t>
      </w:r>
      <w:proofErr w:type="spellStart"/>
      <w:r w:rsidRPr="002E2547">
        <w:t>vpb</w:t>
      </w:r>
      <w:proofErr w:type="spellEnd"/>
      <w:r w:rsidRPr="002E2547">
        <w:noBreakHyphen/>
        <w:t>tarief als de box</w:t>
      </w:r>
      <w:r>
        <w:t xml:space="preserve"> </w:t>
      </w:r>
      <w:r w:rsidRPr="002E2547">
        <w:t>2</w:t>
      </w:r>
      <w:r w:rsidRPr="002E2547">
        <w:noBreakHyphen/>
        <w:t>tarieven zijn in d</w:t>
      </w:r>
      <w:r>
        <w:t>e afgelopen twaalf jaar</w:t>
      </w:r>
      <w:r w:rsidRPr="002E2547">
        <w:t xml:space="preserve"> meerdere malen gewijzigd. Er is weinig reden om aan te nemen dat de komende twaalf jaar stabieler zullen zijn.</w:t>
      </w:r>
    </w:p>
    <w:p w14:paraId="4180B170" w14:textId="11068AD9" w:rsidR="00FE3C15" w:rsidRPr="00FE3C15" w:rsidRDefault="00FE3C15" w:rsidP="00FE3C15">
      <w:r w:rsidRPr="00FE3C15">
        <w:t xml:space="preserve">Wat vandaag aantrekkelijk lijkt, kan morgen weer kantelen. De BV is daarmee geen oplossing, maar </w:t>
      </w:r>
      <w:r w:rsidR="00A227E7">
        <w:t>meer</w:t>
      </w:r>
      <w:r w:rsidRPr="00FE3C15">
        <w:t xml:space="preserve"> een ander speelveld met eigen risico’s.</w:t>
      </w:r>
    </w:p>
    <w:p w14:paraId="71C9D154" w14:textId="77FF4899" w:rsidR="007933DC" w:rsidRDefault="007933DC">
      <w:r w:rsidRPr="007933DC">
        <w:rPr>
          <w:b/>
          <w:bCs/>
        </w:rPr>
        <w:t>Geen reden om nu haast te maken</w:t>
      </w:r>
    </w:p>
    <w:p w14:paraId="7A4B6462" w14:textId="16F83BB3" w:rsidR="00A24D7A" w:rsidRPr="00A24D7A" w:rsidRDefault="004C7E65" w:rsidP="00A24D7A">
      <w:r w:rsidRPr="002E2547">
        <w:t xml:space="preserve">Als de keuze uiteindelijk toch in het voordeel van de BV uitvalt, speelt </w:t>
      </w:r>
      <w:r w:rsidRPr="00C311AC">
        <w:t>timing</w:t>
      </w:r>
      <w:r w:rsidRPr="002E2547">
        <w:t xml:space="preserve"> een cruciale rol. Over het resterende deel van </w:t>
      </w:r>
      <w:r>
        <w:t>2026 wordt in</w:t>
      </w:r>
      <w:r w:rsidRPr="002E2547">
        <w:t xml:space="preserve"> box 3 geen belasting meer geheven. In de BV daarentegen start het fiscale tijdvak op de dag van inbreng en loopt tot </w:t>
      </w:r>
      <w:r>
        <w:t xml:space="preserve">en met </w:t>
      </w:r>
      <w:r w:rsidRPr="002E2547">
        <w:t>31 december</w:t>
      </w:r>
      <w:r>
        <w:t xml:space="preserve"> 2026</w:t>
      </w:r>
      <w:r w:rsidRPr="002E2547">
        <w:t>.</w:t>
      </w:r>
      <w:r w:rsidR="00E7317A">
        <w:t xml:space="preserve"> </w:t>
      </w:r>
      <w:r w:rsidRPr="002E2547">
        <w:t>Dat kan ertoe leiden dat in één kalenderjaar zowel box</w:t>
      </w:r>
      <w:r w:rsidRPr="002E2547">
        <w:noBreakHyphen/>
        <w:t>3</w:t>
      </w:r>
      <w:r w:rsidRPr="002E2547">
        <w:noBreakHyphen/>
        <w:t xml:space="preserve">heffing als </w:t>
      </w:r>
      <w:proofErr w:type="spellStart"/>
      <w:r>
        <w:t>v</w:t>
      </w:r>
      <w:r w:rsidRPr="002E2547">
        <w:t>pb</w:t>
      </w:r>
      <w:proofErr w:type="spellEnd"/>
      <w:r w:rsidRPr="002E2547">
        <w:t xml:space="preserve"> verschuldigd is. </w:t>
      </w:r>
      <w:r w:rsidR="00C466E6" w:rsidRPr="002E2547">
        <w:t xml:space="preserve">Met de huidige onzekerheden </w:t>
      </w:r>
      <w:r w:rsidR="00C466E6">
        <w:t>is het mede</w:t>
      </w:r>
      <w:r w:rsidR="00C466E6" w:rsidRPr="002E2547">
        <w:t xml:space="preserve"> </w:t>
      </w:r>
      <w:r w:rsidR="00C466E6">
        <w:t>daarom verstandig beleid om</w:t>
      </w:r>
      <w:r w:rsidR="00C466E6" w:rsidRPr="002E2547">
        <w:t xml:space="preserve"> </w:t>
      </w:r>
      <w:r w:rsidR="00C466E6">
        <w:t xml:space="preserve">nog even </w:t>
      </w:r>
      <w:r w:rsidR="00C466E6" w:rsidRPr="002E2547">
        <w:t>af te wachten.</w:t>
      </w:r>
    </w:p>
    <w:p w14:paraId="4D3DAFBC" w14:textId="77777777" w:rsidR="004C7E65" w:rsidRPr="002E2547" w:rsidRDefault="004C7E65" w:rsidP="004C7E65">
      <w:r w:rsidRPr="002E2547">
        <w:t>Bovendien bestaat</w:t>
      </w:r>
      <w:r>
        <w:t xml:space="preserve"> in box 3 naast het forfaitair rendement, nog steeds</w:t>
      </w:r>
      <w:r w:rsidRPr="002E2547">
        <w:t xml:space="preserve"> de tegenbewijsregeling 3</w:t>
      </w:r>
      <w:r>
        <w:t>.</w:t>
      </w:r>
      <w:r w:rsidRPr="002E2547">
        <w:t xml:space="preserve"> Bij lagere rendementen wordt slechts tot circa 6% belast. Bij een rendement van 10% en een vermogen van € 1.000.000 houdt de belegger in box 3 momenteel zelfs meer over dan in de BV.</w:t>
      </w:r>
      <w:r>
        <w:t xml:space="preserve"> Ook in 2027 is box 3 daarom zo gek nog niet.</w:t>
      </w:r>
    </w:p>
    <w:p w14:paraId="528B9384" w14:textId="77777777" w:rsidR="004C7E65" w:rsidRDefault="004C7E65" w:rsidP="004C7E65">
      <w:r w:rsidRPr="00AE757E">
        <w:rPr>
          <w:noProof/>
        </w:rPr>
        <w:drawing>
          <wp:inline distT="0" distB="0" distL="0" distR="0" wp14:anchorId="3BAA5099" wp14:editId="0FE2D46D">
            <wp:extent cx="5731510" cy="2223135"/>
            <wp:effectExtent l="0" t="0" r="2540" b="5715"/>
            <wp:docPr id="8" name="Tijdelijke aanduiding voor inhoud 7">
              <a:extLst xmlns:a="http://schemas.openxmlformats.org/drawingml/2006/main">
                <a:ext uri="{FF2B5EF4-FFF2-40B4-BE49-F238E27FC236}">
                  <a16:creationId xmlns:a16="http://schemas.microsoft.com/office/drawing/2014/main" id="{B7F10E7D-61E0-8AD5-FE55-72E21FFE3B9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jdelijke aanduiding voor inhoud 7">
                      <a:extLst>
                        <a:ext uri="{FF2B5EF4-FFF2-40B4-BE49-F238E27FC236}">
                          <a16:creationId xmlns:a16="http://schemas.microsoft.com/office/drawing/2014/main" id="{B7F10E7D-61E0-8AD5-FE55-72E21FFE3B9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70F16" w14:textId="77777777" w:rsidR="004C7E65" w:rsidRDefault="004C7E65" w:rsidP="004C7E65"/>
    <w:p w14:paraId="56FA9A8E" w14:textId="77777777" w:rsidR="004C7E65" w:rsidRDefault="004C7E65" w:rsidP="004C7E65">
      <w:r>
        <w:t xml:space="preserve">Het is wel zo dat in box 3 bij afrekening over het lagere rendement, kosten niet in aftrek mogen worden gebracht en verliezen niet mogen worden verrekend met winsten uit andere jaren. </w:t>
      </w:r>
    </w:p>
    <w:p w14:paraId="0FFA32D8" w14:textId="4C277C0A" w:rsidR="004C7E65" w:rsidRPr="00903D6A" w:rsidRDefault="004C7E65" w:rsidP="004C7E65">
      <w:pPr>
        <w:rPr>
          <w:b/>
          <w:bCs/>
        </w:rPr>
      </w:pPr>
      <w:r w:rsidRPr="00903D6A">
        <w:rPr>
          <w:b/>
          <w:bCs/>
        </w:rPr>
        <w:lastRenderedPageBreak/>
        <w:t>Conclusie</w:t>
      </w:r>
      <w:r>
        <w:rPr>
          <w:b/>
          <w:bCs/>
        </w:rPr>
        <w:t>:</w:t>
      </w:r>
      <w:r w:rsidRPr="00D51EB0">
        <w:rPr>
          <w:b/>
          <w:bCs/>
        </w:rPr>
        <w:t xml:space="preserve"> </w:t>
      </w:r>
      <w:r w:rsidRPr="002E2547">
        <w:rPr>
          <w:b/>
          <w:bCs/>
        </w:rPr>
        <w:t>rekenen, relativeren en timen</w:t>
      </w:r>
    </w:p>
    <w:p w14:paraId="373C7F37" w14:textId="77777777" w:rsidR="00A142C2" w:rsidRPr="00A142C2" w:rsidRDefault="00A142C2" w:rsidP="00A142C2">
      <w:r w:rsidRPr="00A142C2">
        <w:t>De overstap naar een BV vraagt geen snelle reflex, maar een doordachte strategie.</w:t>
      </w:r>
    </w:p>
    <w:p w14:paraId="39E7B64E" w14:textId="334A73DE" w:rsidR="004C7E65" w:rsidRDefault="00A142C2" w:rsidP="004C7E65">
      <w:r w:rsidRPr="00A142C2">
        <w:t>Het voordeel zit niet in een simpele tariefvergelijking.</w:t>
      </w:r>
      <w:r w:rsidR="00456C49">
        <w:t xml:space="preserve"> W</w:t>
      </w:r>
      <w:r w:rsidRPr="00A142C2">
        <w:t>ie vooruitkijkt, moet rekening houden met veranderende regels, politieke keuzes en economische realiteit.</w:t>
      </w:r>
      <w:r w:rsidR="00A932FA">
        <w:t xml:space="preserve"> </w:t>
      </w:r>
      <w:r w:rsidR="00456C49">
        <w:t>En w</w:t>
      </w:r>
      <w:r w:rsidR="004C7E65" w:rsidRPr="002E2547">
        <w:t xml:space="preserve">ie na zorgvuldige afweging voor de BV kiest, kiest </w:t>
      </w:r>
      <w:r w:rsidR="00A932FA">
        <w:t xml:space="preserve">ook </w:t>
      </w:r>
      <w:r w:rsidR="004C7E65" w:rsidRPr="002E2547">
        <w:t xml:space="preserve">voor timing. </w:t>
      </w:r>
      <w:r w:rsidR="001D6B5D">
        <w:t xml:space="preserve">Hoe dan ook </w:t>
      </w:r>
      <w:r w:rsidR="004C7E65" w:rsidRPr="002E2547">
        <w:t>het blijft een keuze met onzekerheden</w:t>
      </w:r>
      <w:r w:rsidR="004C7E65">
        <w:t xml:space="preserve">. </w:t>
      </w:r>
    </w:p>
    <w:p w14:paraId="09499CDD" w14:textId="77777777" w:rsidR="004C7E65" w:rsidRPr="002E2547" w:rsidRDefault="004C7E65" w:rsidP="004C7E65"/>
    <w:p w14:paraId="09EDF336" w14:textId="77777777" w:rsidR="004C7E65" w:rsidRDefault="004C7E65" w:rsidP="004C7E65"/>
    <w:p w14:paraId="0440A9C4" w14:textId="67081213" w:rsidR="007933DC" w:rsidRDefault="007933DC"/>
    <w:sectPr w:rsidR="00793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F"/>
    <w:rsid w:val="000015D8"/>
    <w:rsid w:val="00017B92"/>
    <w:rsid w:val="001223B4"/>
    <w:rsid w:val="001713A0"/>
    <w:rsid w:val="001D6B5D"/>
    <w:rsid w:val="00203F97"/>
    <w:rsid w:val="00256FB3"/>
    <w:rsid w:val="00270C36"/>
    <w:rsid w:val="002D6E8A"/>
    <w:rsid w:val="00326D4A"/>
    <w:rsid w:val="00357733"/>
    <w:rsid w:val="00360224"/>
    <w:rsid w:val="003900AB"/>
    <w:rsid w:val="00456C49"/>
    <w:rsid w:val="004C7E65"/>
    <w:rsid w:val="004F0F4A"/>
    <w:rsid w:val="005B0246"/>
    <w:rsid w:val="005E2946"/>
    <w:rsid w:val="005E5DFA"/>
    <w:rsid w:val="005E68F7"/>
    <w:rsid w:val="00672873"/>
    <w:rsid w:val="006953E1"/>
    <w:rsid w:val="006F05AF"/>
    <w:rsid w:val="0075413C"/>
    <w:rsid w:val="00757FA3"/>
    <w:rsid w:val="00782ACB"/>
    <w:rsid w:val="007933DC"/>
    <w:rsid w:val="007C160F"/>
    <w:rsid w:val="007C51F9"/>
    <w:rsid w:val="008E2B97"/>
    <w:rsid w:val="00904436"/>
    <w:rsid w:val="00934A9C"/>
    <w:rsid w:val="00997036"/>
    <w:rsid w:val="009B4278"/>
    <w:rsid w:val="009D37F9"/>
    <w:rsid w:val="00A142C2"/>
    <w:rsid w:val="00A227E7"/>
    <w:rsid w:val="00A24D7A"/>
    <w:rsid w:val="00A932FA"/>
    <w:rsid w:val="00AF4736"/>
    <w:rsid w:val="00B376D4"/>
    <w:rsid w:val="00B72FAD"/>
    <w:rsid w:val="00B8659A"/>
    <w:rsid w:val="00C466E6"/>
    <w:rsid w:val="00CB7689"/>
    <w:rsid w:val="00CF1764"/>
    <w:rsid w:val="00D63532"/>
    <w:rsid w:val="00DF11B5"/>
    <w:rsid w:val="00E02A68"/>
    <w:rsid w:val="00E30607"/>
    <w:rsid w:val="00E67368"/>
    <w:rsid w:val="00E7317A"/>
    <w:rsid w:val="00E96EA9"/>
    <w:rsid w:val="00EE402E"/>
    <w:rsid w:val="00FB2E15"/>
    <w:rsid w:val="00FB7904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A029"/>
  <w15:chartTrackingRefBased/>
  <w15:docId w15:val="{BFDC3EFC-A580-496E-B9BD-A69AF7AE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16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16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16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16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16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16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16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16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16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16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3804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ABN AMRO Bank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Beets</dc:creator>
  <cp:keywords/>
  <dc:description/>
  <cp:lastModifiedBy>Konings, Gé</cp:lastModifiedBy>
  <cp:revision>2</cp:revision>
  <dcterms:created xsi:type="dcterms:W3CDTF">2026-06-23T14:43:00Z</dcterms:created>
  <dcterms:modified xsi:type="dcterms:W3CDTF">2026-06-23T14:43:00Z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a2c1fe-0955-4006-8852-e95e0d3d64c8_Enabled">
    <vt:lpwstr>true</vt:lpwstr>
  </property>
  <property fmtid="{D5CDD505-2E9C-101B-9397-08002B2CF9AE}" pid="3" name="MSIP_Label_d7a2c1fe-0955-4006-8852-e95e0d3d64c8_SetDate">
    <vt:lpwstr>2026-06-18T12:46:25Z</vt:lpwstr>
  </property>
  <property fmtid="{D5CDD505-2E9C-101B-9397-08002B2CF9AE}" pid="4" name="MSIP_Label_d7a2c1fe-0955-4006-8852-e95e0d3d64c8_Method">
    <vt:lpwstr>Privileged</vt:lpwstr>
  </property>
  <property fmtid="{D5CDD505-2E9C-101B-9397-08002B2CF9AE}" pid="5" name="MSIP_Label_d7a2c1fe-0955-4006-8852-e95e0d3d64c8_Name">
    <vt:lpwstr>Personal</vt:lpwstr>
  </property>
  <property fmtid="{D5CDD505-2E9C-101B-9397-08002B2CF9AE}" pid="6" name="MSIP_Label_d7a2c1fe-0955-4006-8852-e95e0d3d64c8_SiteId">
    <vt:lpwstr>3a15904d-3fd9-4256-a753-beb05cdf0c6d</vt:lpwstr>
  </property>
  <property fmtid="{D5CDD505-2E9C-101B-9397-08002B2CF9AE}" pid="7" name="MSIP_Label_d7a2c1fe-0955-4006-8852-e95e0d3d64c8_ActionId">
    <vt:lpwstr>67872635-b8c5-4813-9454-2bdcfdca7147</vt:lpwstr>
  </property>
  <property fmtid="{D5CDD505-2E9C-101B-9397-08002B2CF9AE}" pid="8" name="MSIP_Label_d7a2c1fe-0955-4006-8852-e95e0d3d64c8_ContentBits">
    <vt:lpwstr>0</vt:lpwstr>
  </property>
  <property fmtid="{D5CDD505-2E9C-101B-9397-08002B2CF9AE}" pid="9" name="MSIP_Label_d7a2c1fe-0955-4006-8852-e95e0d3d64c8_Tag">
    <vt:lpwstr>10, 0, 1, 1</vt:lpwstr>
  </property>
  <property fmtid="{D5CDD505-2E9C-101B-9397-08002B2CF9AE}" pid="10" name="MSIP_Label_fe6ee112-9e5c-4f16-b63d-fcad06e1707e_Enabled">
    <vt:lpwstr>true</vt:lpwstr>
  </property>
  <property fmtid="{D5CDD505-2E9C-101B-9397-08002B2CF9AE}" pid="11" name="MSIP_Label_fe6ee112-9e5c-4f16-b63d-fcad06e1707e_SetDate">
    <vt:lpwstr>2026-06-23T14:43:21Z</vt:lpwstr>
  </property>
  <property fmtid="{D5CDD505-2E9C-101B-9397-08002B2CF9AE}" pid="12" name="MSIP_Label_fe6ee112-9e5c-4f16-b63d-fcad06e1707e_Method">
    <vt:lpwstr>Standard</vt:lpwstr>
  </property>
  <property fmtid="{D5CDD505-2E9C-101B-9397-08002B2CF9AE}" pid="13" name="MSIP_Label_fe6ee112-9e5c-4f16-b63d-fcad06e1707e_Name">
    <vt:lpwstr>Internal Use</vt:lpwstr>
  </property>
  <property fmtid="{D5CDD505-2E9C-101B-9397-08002B2CF9AE}" pid="14" name="MSIP_Label_fe6ee112-9e5c-4f16-b63d-fcad06e1707e_SiteId">
    <vt:lpwstr>8ac76c91-e7f1-41ff-a89c-3553b2da2c17</vt:lpwstr>
  </property>
  <property fmtid="{D5CDD505-2E9C-101B-9397-08002B2CF9AE}" pid="15" name="MSIP_Label_fe6ee112-9e5c-4f16-b63d-fcad06e1707e_ActionId">
    <vt:lpwstr>727de6de-6102-437d-9a57-0b79ede27439</vt:lpwstr>
  </property>
  <property fmtid="{D5CDD505-2E9C-101B-9397-08002B2CF9AE}" pid="16" name="MSIP_Label_fe6ee112-9e5c-4f16-b63d-fcad06e1707e_ContentBits">
    <vt:lpwstr>0</vt:lpwstr>
  </property>
  <property fmtid="{D5CDD505-2E9C-101B-9397-08002B2CF9AE}" pid="17" name="MSIP_Label_fe6ee112-9e5c-4f16-b63d-fcad06e1707e_Tag">
    <vt:lpwstr>10, 3, 0, 1</vt:lpwstr>
  </property>
</Properties>
</file>